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145854" w:rsidRDefault="00A60FAE" w:rsidP="00F66581">
      <w:pPr>
        <w:pStyle w:val="Title"/>
        <w:pBdr>
          <w:bottom w:val="single" w:sz="4" w:space="1" w:color="auto"/>
        </w:pBdr>
        <w:rPr>
          <w:rFonts w:cs="Arial"/>
        </w:rPr>
      </w:pPr>
      <w:r w:rsidRPr="00145854">
        <w:rPr>
          <w:rFonts w:cs="Arial"/>
        </w:rPr>
        <w:t xml:space="preserve">Acoustic Comfort </w:t>
      </w:r>
    </w:p>
    <w:p w:rsidR="00BA7D0F" w:rsidRPr="00145854" w:rsidRDefault="00BA7D0F" w:rsidP="00A076EF">
      <w:pPr>
        <w:pStyle w:val="Preliminary"/>
      </w:pPr>
      <w:r w:rsidRPr="00145854">
        <w:t xml:space="preserve">Credit </w:t>
      </w:r>
      <w:r w:rsidR="00A60FAE" w:rsidRPr="00145854">
        <w:t>13</w:t>
      </w:r>
    </w:p>
    <w:p w:rsidR="001F01B9" w:rsidRPr="00145854" w:rsidRDefault="001F01B9" w:rsidP="00A076EF">
      <w:pPr>
        <w:pStyle w:val="Preliminary"/>
      </w:pPr>
      <w:r w:rsidRPr="00145854">
        <w:t>Individual Building</w:t>
      </w:r>
      <w:r w:rsidRPr="00145854">
        <w:tab/>
      </w:r>
      <w:sdt>
        <w:sdtPr>
          <w:id w:val="1949506808"/>
        </w:sdtPr>
        <w:sdtEndPr/>
        <w:sdtContent>
          <w:sdt>
            <w:sdtPr>
              <w:id w:val="3996478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22F8A" w:rsidRPr="00145854">
                <w:rPr>
                  <w:rFonts w:ascii="Segoe UI Symbol" w:eastAsia="MS Gothic" w:hAnsi="Segoe UI Symbol" w:cs="Segoe UI Symbol"/>
                </w:rPr>
                <w:t>☐</w:t>
              </w:r>
            </w:sdtContent>
          </w:sdt>
        </w:sdtContent>
      </w:sdt>
      <w:r w:rsidRPr="00145854">
        <w:tab/>
        <w:t>Portfolio</w:t>
      </w:r>
      <w:r w:rsidRPr="00145854">
        <w:tab/>
      </w:r>
      <w:r w:rsidRPr="00145854">
        <w:tab/>
        <w:t xml:space="preserve"> </w:t>
      </w:r>
      <w:sdt>
        <w:sdtPr>
          <w:id w:val="7495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2F8A" w:rsidRPr="00145854">
            <w:rPr>
              <w:rFonts w:ascii="Segoe UI Symbol" w:eastAsia="MS Gothic" w:hAnsi="Segoe UI Symbol" w:cs="Segoe UI Symbol"/>
            </w:rPr>
            <w:t>☐</w:t>
          </w:r>
        </w:sdtContent>
      </w:sdt>
    </w:p>
    <w:p w:rsidR="00AC7C93" w:rsidRPr="00145854" w:rsidRDefault="00AC7C93">
      <w:pPr>
        <w:pStyle w:val="Preliminary"/>
      </w:pPr>
      <w:r w:rsidRPr="00145854">
        <w:t xml:space="preserve">Project Name: [name]   </w:t>
      </w:r>
      <w:r w:rsidR="00520242">
        <w:fldChar w:fldCharType="begin"/>
      </w:r>
      <w:r w:rsidR="00520242">
        <w:instrText xml:space="preserve"> AUTOTEXT  "Alphabet Sidebar"  \* MERGEFORMAT </w:instrText>
      </w:r>
      <w:r w:rsidR="00520242">
        <w:fldChar w:fldCharType="separate"/>
      </w:r>
      <w:r w:rsidRPr="00145854">
        <w:fldChar w:fldCharType="begin"/>
      </w:r>
      <w:r w:rsidRPr="00145854">
        <w:instrText xml:space="preserve"> NEXT  \* MERGEFORMAT </w:instrText>
      </w:r>
      <w:r w:rsidRPr="00145854">
        <w:fldChar w:fldCharType="end"/>
      </w:r>
      <w:r w:rsidR="00520242">
        <w:fldChar w:fldCharType="end"/>
      </w:r>
    </w:p>
    <w:p w:rsidR="00AC7C93" w:rsidRPr="00145854" w:rsidRDefault="00AC7C93">
      <w:pPr>
        <w:pStyle w:val="Preliminary"/>
      </w:pPr>
      <w:r w:rsidRPr="00145854">
        <w:t>Project Number: GS- [####]</w:t>
      </w: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3"/>
        <w:gridCol w:w="1394"/>
        <w:gridCol w:w="2508"/>
        <w:gridCol w:w="1672"/>
      </w:tblGrid>
      <w:tr w:rsidR="006F65AE" w:rsidRPr="002058B3" w:rsidTr="00A91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pct"/>
            <w:shd w:val="clear" w:color="auto" w:fill="FFFFFF" w:themeFill="background1"/>
          </w:tcPr>
          <w:p w:rsidR="006F65AE" w:rsidRPr="00145854" w:rsidRDefault="006F65AE" w:rsidP="00A917B5">
            <w:pPr>
              <w:pStyle w:val="Preliminary"/>
              <w:spacing w:before="0" w:after="0"/>
              <w:rPr>
                <w:b w:val="0"/>
              </w:rPr>
            </w:pPr>
            <w:r w:rsidRPr="00145854">
              <w:t>Total points available:</w:t>
            </w:r>
          </w:p>
        </w:tc>
        <w:tc>
          <w:tcPr>
            <w:tcW w:w="772" w:type="pct"/>
            <w:shd w:val="clear" w:color="auto" w:fill="FFFFFF" w:themeFill="background1"/>
          </w:tcPr>
          <w:p w:rsidR="006F65AE" w:rsidRPr="00145854" w:rsidRDefault="00A60FAE" w:rsidP="00A917B5">
            <w:pPr>
              <w:pStyle w:val="Preliminar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5854">
              <w:t>1</w:t>
            </w:r>
          </w:p>
        </w:tc>
        <w:tc>
          <w:tcPr>
            <w:tcW w:w="1389" w:type="pct"/>
          </w:tcPr>
          <w:p w:rsidR="006F65AE" w:rsidRPr="00145854" w:rsidRDefault="006F65AE" w:rsidP="00A917B5">
            <w:pPr>
              <w:pStyle w:val="Preliminar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45854">
              <w:t>Points claimed:</w:t>
            </w:r>
          </w:p>
        </w:tc>
        <w:tc>
          <w:tcPr>
            <w:tcW w:w="926" w:type="pct"/>
          </w:tcPr>
          <w:p w:rsidR="006F65AE" w:rsidRPr="00145854" w:rsidRDefault="00AC7C93" w:rsidP="00A917B5">
            <w:pPr>
              <w:pStyle w:val="Preliminar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en-AU"/>
              </w:rPr>
            </w:pPr>
            <w:r w:rsidRPr="00145854">
              <w:t>[#]</w:t>
            </w:r>
          </w:p>
        </w:tc>
      </w:tr>
    </w:tbl>
    <w:p w:rsidR="006F65AE" w:rsidRPr="00145854" w:rsidRDefault="006F65AE">
      <w:pPr>
        <w:rPr>
          <w:rFonts w:cs="Arial"/>
        </w:rPr>
      </w:pPr>
    </w:p>
    <w:tbl>
      <w:tblPr>
        <w:tblStyle w:val="TableGrid"/>
        <w:tblW w:w="0" w:type="auto"/>
        <w:tblBorders>
          <w:right w:val="single" w:sz="8" w:space="0" w:color="56B3D0"/>
          <w:insideV w:val="single" w:sz="8" w:space="0" w:color="56B3D0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"/>
        <w:gridCol w:w="997"/>
        <w:gridCol w:w="1555"/>
        <w:gridCol w:w="4937"/>
        <w:gridCol w:w="1079"/>
      </w:tblGrid>
      <w:tr w:rsidR="001F01B9" w:rsidRPr="002058B3" w:rsidTr="00A91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top w:val="single" w:sz="4" w:space="0" w:color="56B3D0"/>
              <w:right w:val="nil"/>
            </w:tcBorders>
            <w:shd w:val="clear" w:color="auto" w:fill="auto"/>
          </w:tcPr>
          <w:p w:rsidR="001F01B9" w:rsidRPr="00145854" w:rsidRDefault="001F01B9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No.</w:t>
            </w:r>
          </w:p>
        </w:tc>
        <w:tc>
          <w:tcPr>
            <w:tcW w:w="997" w:type="dxa"/>
            <w:tcBorders>
              <w:top w:val="single" w:sz="4" w:space="0" w:color="56B3D0"/>
              <w:right w:val="nil"/>
            </w:tcBorders>
            <w:shd w:val="clear" w:color="auto" w:fill="4BACC6" w:themeFill="accent5"/>
          </w:tcPr>
          <w:p w:rsidR="001F01B9" w:rsidRPr="00145854" w:rsidRDefault="001F01B9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r w:rsidRPr="00145854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1555" w:type="dxa"/>
            <w:tcBorders>
              <w:left w:val="nil"/>
              <w:right w:val="nil"/>
            </w:tcBorders>
          </w:tcPr>
          <w:p w:rsidR="001F01B9" w:rsidRPr="00145854" w:rsidRDefault="001F01B9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Criteria</w:t>
            </w:r>
          </w:p>
        </w:tc>
        <w:tc>
          <w:tcPr>
            <w:tcW w:w="4937" w:type="dxa"/>
            <w:tcBorders>
              <w:left w:val="nil"/>
              <w:right w:val="nil"/>
            </w:tcBorders>
          </w:tcPr>
          <w:p w:rsidR="001F01B9" w:rsidRPr="00145854" w:rsidRDefault="001F01B9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Description</w:t>
            </w:r>
          </w:p>
        </w:tc>
        <w:tc>
          <w:tcPr>
            <w:tcW w:w="1079" w:type="dxa"/>
            <w:tcBorders>
              <w:left w:val="nil"/>
              <w:right w:val="nil"/>
            </w:tcBorders>
          </w:tcPr>
          <w:p w:rsidR="001F01B9" w:rsidRPr="00145854" w:rsidRDefault="001F01B9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Arial"/>
              </w:rPr>
            </w:pPr>
            <w:r w:rsidRPr="00145854">
              <w:rPr>
                <w:rFonts w:cs="Arial"/>
                <w:b/>
              </w:rPr>
              <w:t>Claimed</w:t>
            </w:r>
          </w:p>
        </w:tc>
      </w:tr>
      <w:tr w:rsidR="001F01B9" w:rsidRPr="002058B3" w:rsidTr="00640E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5" w:type="dxa"/>
            <w:tcBorders>
              <w:right w:val="nil"/>
            </w:tcBorders>
            <w:shd w:val="clear" w:color="auto" w:fill="auto"/>
            <w:vAlign w:val="center"/>
          </w:tcPr>
          <w:p w:rsidR="001F01B9" w:rsidRPr="00145854" w:rsidRDefault="001F01B9" w:rsidP="00640E1F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13.1</w:t>
            </w:r>
          </w:p>
        </w:tc>
        <w:tc>
          <w:tcPr>
            <w:tcW w:w="997" w:type="dxa"/>
            <w:tcBorders>
              <w:right w:val="nil"/>
            </w:tcBorders>
            <w:shd w:val="clear" w:color="auto" w:fill="4BACC6" w:themeFill="accent5"/>
            <w:vAlign w:val="center"/>
          </w:tcPr>
          <w:p w:rsidR="001F01B9" w:rsidRPr="00145854" w:rsidRDefault="001F01B9" w:rsidP="00640E1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</w:rPr>
            </w:pPr>
            <w:bookmarkStart w:id="0" w:name="h.fwvpjw869anz"/>
            <w:bookmarkEnd w:id="0"/>
            <w:r w:rsidRPr="00145854">
              <w:rPr>
                <w:rFonts w:cs="Arial"/>
                <w:b/>
                <w:color w:val="FFFFFF" w:themeColor="background1"/>
              </w:rPr>
              <w:t>Data</w:t>
            </w:r>
          </w:p>
        </w:tc>
        <w:tc>
          <w:tcPr>
            <w:tcW w:w="1555" w:type="dxa"/>
            <w:tcBorders>
              <w:left w:val="nil"/>
              <w:right w:val="nil"/>
            </w:tcBorders>
            <w:vAlign w:val="center"/>
            <w:hideMark/>
          </w:tcPr>
          <w:p w:rsidR="001F01B9" w:rsidRPr="00145854" w:rsidRDefault="001F01B9" w:rsidP="00640E1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fldChar w:fldCharType="begin"/>
            </w:r>
            <w:r w:rsidRPr="00145854">
              <w:rPr>
                <w:rFonts w:cs="Arial"/>
                <w:b/>
              </w:rPr>
              <w:instrText xml:space="preserve"> REF _Ref412112269 \h  \* MERGEFORMAT </w:instrText>
            </w:r>
            <w:r w:rsidRPr="00145854">
              <w:rPr>
                <w:rFonts w:cs="Arial"/>
                <w:b/>
              </w:rPr>
            </w:r>
            <w:r w:rsidRPr="00145854">
              <w:rPr>
                <w:rFonts w:cs="Arial"/>
                <w:b/>
              </w:rPr>
              <w:fldChar w:fldCharType="separate"/>
            </w:r>
            <w:r w:rsidRPr="00145854">
              <w:rPr>
                <w:rFonts w:cs="Arial"/>
                <w:b/>
              </w:rPr>
              <w:t>Internal Noise</w:t>
            </w:r>
            <w:r w:rsidRPr="00145854">
              <w:rPr>
                <w:rFonts w:cs="Arial"/>
              </w:rPr>
              <w:t xml:space="preserve"> </w:t>
            </w:r>
            <w:r w:rsidRPr="00145854">
              <w:rPr>
                <w:rFonts w:cs="Arial"/>
                <w:b/>
              </w:rPr>
              <w:t>Levels</w:t>
            </w:r>
            <w:r w:rsidRPr="00145854">
              <w:rPr>
                <w:rFonts w:cs="Arial"/>
              </w:rPr>
              <w:t xml:space="preserve"> </w:t>
            </w:r>
            <w:r w:rsidRPr="00145854">
              <w:rPr>
                <w:rFonts w:cs="Arial"/>
                <w:b/>
              </w:rPr>
              <w:fldChar w:fldCharType="end"/>
            </w:r>
          </w:p>
        </w:tc>
        <w:tc>
          <w:tcPr>
            <w:tcW w:w="4937" w:type="dxa"/>
            <w:tcBorders>
              <w:left w:val="nil"/>
              <w:right w:val="nil"/>
            </w:tcBorders>
            <w:hideMark/>
          </w:tcPr>
          <w:p w:rsidR="001F01B9" w:rsidRPr="00145854" w:rsidRDefault="001F01B9" w:rsidP="006133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145854">
              <w:rPr>
                <w:rFonts w:eastAsia="Times New Roman" w:cs="Arial"/>
                <w:b/>
                <w:lang w:eastAsia="en-AU"/>
              </w:rPr>
              <w:t xml:space="preserve">1 point </w:t>
            </w:r>
            <w:r w:rsidRPr="00145854">
              <w:rPr>
                <w:rFonts w:eastAsia="Times New Roman" w:cs="Arial"/>
                <w:lang w:eastAsia="en-AU"/>
              </w:rPr>
              <w:t xml:space="preserve">is available where internal ambient noise levels </w:t>
            </w:r>
            <w:r w:rsidRPr="00145854">
              <w:rPr>
                <w:rFonts w:eastAsia="Times New Roman" w:cs="Arial"/>
                <w:i/>
                <w:lang w:eastAsia="en-AU"/>
              </w:rPr>
              <w:t>of each regularly occupied primary space</w:t>
            </w:r>
            <w:r w:rsidRPr="00145854">
              <w:rPr>
                <w:rFonts w:eastAsia="Times New Roman" w:cs="Arial"/>
                <w:lang w:eastAsia="en-AU"/>
              </w:rPr>
              <w:t xml:space="preserve"> </w:t>
            </w:r>
            <w:r w:rsidR="00984982" w:rsidRPr="00145854">
              <w:rPr>
                <w:rFonts w:eastAsia="Times New Roman" w:cs="Arial"/>
                <w:lang w:eastAsia="en-AU"/>
              </w:rPr>
              <w:t xml:space="preserve">are suitable </w:t>
            </w:r>
            <w:r w:rsidR="00613359" w:rsidRPr="00145854">
              <w:rPr>
                <w:rFonts w:eastAsia="Times New Roman" w:cs="Arial"/>
                <w:lang w:eastAsia="en-AU"/>
              </w:rPr>
              <w:t xml:space="preserve">for </w:t>
            </w:r>
            <w:r w:rsidR="00984982" w:rsidRPr="00145854">
              <w:rPr>
                <w:rFonts w:eastAsia="Times New Roman" w:cs="Arial"/>
                <w:lang w:eastAsia="en-AU"/>
              </w:rPr>
              <w:t xml:space="preserve">the activity type </w:t>
            </w:r>
            <w:r w:rsidRPr="00145854">
              <w:rPr>
                <w:rFonts w:eastAsia="Times New Roman" w:cs="Arial"/>
                <w:lang w:eastAsia="en-AU"/>
              </w:rPr>
              <w:t>under normal operating conditions.</w:t>
            </w:r>
          </w:p>
        </w:tc>
        <w:tc>
          <w:tcPr>
            <w:tcW w:w="1079" w:type="dxa"/>
            <w:tcBorders>
              <w:left w:val="nil"/>
              <w:right w:val="nil"/>
            </w:tcBorders>
            <w:vAlign w:val="center"/>
          </w:tcPr>
          <w:p w:rsidR="001F01B9" w:rsidRPr="00145854" w:rsidRDefault="001F01B9" w:rsidP="00640E1F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lang w:eastAsia="en-AU"/>
              </w:rPr>
            </w:pPr>
            <w:r w:rsidRPr="00145854">
              <w:rPr>
                <w:rFonts w:cs="Arial"/>
                <w:color w:val="4BACC6" w:themeColor="accent5"/>
              </w:rPr>
              <w:t>[#]</w:t>
            </w:r>
          </w:p>
        </w:tc>
      </w:tr>
    </w:tbl>
    <w:p w:rsidR="003416F0" w:rsidRPr="00145854" w:rsidRDefault="003416F0" w:rsidP="003416F0">
      <w:pPr>
        <w:rPr>
          <w:rFonts w:cs="Arial"/>
        </w:rPr>
      </w:pPr>
    </w:p>
    <w:p w:rsidR="00520242" w:rsidRPr="005E496B" w:rsidRDefault="00520242" w:rsidP="00520242">
      <w:pPr>
        <w:pStyle w:val="Heading1"/>
        <w:rPr>
          <w:rFonts w:cs="Arial"/>
        </w:rPr>
      </w:pPr>
      <w:bookmarkStart w:id="1" w:name="_Ref412112269"/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520242" w:rsidRPr="005E496B" w:rsidTr="004800FC">
        <w:tc>
          <w:tcPr>
            <w:tcW w:w="3994" w:type="pct"/>
            <w:vAlign w:val="center"/>
          </w:tcPr>
          <w:p w:rsidR="00520242" w:rsidRPr="005E496B" w:rsidRDefault="00520242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520242" w:rsidRPr="005E496B" w:rsidRDefault="00520242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520242" w:rsidRPr="005E496B" w:rsidTr="004800FC">
        <w:tc>
          <w:tcPr>
            <w:tcW w:w="3994" w:type="pct"/>
            <w:vAlign w:val="center"/>
          </w:tcPr>
          <w:p w:rsidR="00520242" w:rsidRPr="005E496B" w:rsidRDefault="00520242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520242" w:rsidRPr="005E496B" w:rsidRDefault="00520242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D519C2" w:rsidRPr="00145854" w:rsidRDefault="00D519C2" w:rsidP="00102D9D">
      <w:pPr>
        <w:pStyle w:val="Heading2"/>
      </w:pPr>
      <w:bookmarkStart w:id="2" w:name="_GoBack"/>
      <w:bookmarkEnd w:id="2"/>
    </w:p>
    <w:p w:rsidR="00D519C2" w:rsidRPr="00145854" w:rsidRDefault="00D519C2">
      <w:pPr>
        <w:spacing w:after="0" w:line="240" w:lineRule="auto"/>
        <w:rPr>
          <w:rFonts w:cs="Arial"/>
          <w:bCs/>
          <w:caps/>
          <w:color w:val="56B3D0"/>
          <w:sz w:val="28"/>
          <w:szCs w:val="28"/>
        </w:rPr>
      </w:pPr>
      <w:r w:rsidRPr="00145854">
        <w:rPr>
          <w:rFonts w:cs="Arial"/>
        </w:rPr>
        <w:br w:type="page"/>
      </w:r>
    </w:p>
    <w:p w:rsidR="004A2F3C" w:rsidRPr="00145854" w:rsidRDefault="00A60FAE" w:rsidP="00A917B5">
      <w:pPr>
        <w:pStyle w:val="Heading1"/>
        <w:rPr>
          <w:rFonts w:cs="Arial"/>
        </w:rPr>
      </w:pPr>
      <w:r w:rsidRPr="00145854">
        <w:rPr>
          <w:rFonts w:cs="Arial"/>
        </w:rPr>
        <w:t>13.1 Internal Noise Levels</w:t>
      </w:r>
      <w:bookmarkEnd w:id="1"/>
    </w:p>
    <w:tbl>
      <w:tblPr>
        <w:tblStyle w:val="TableGrid1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152"/>
        <w:gridCol w:w="4568"/>
        <w:gridCol w:w="1307"/>
      </w:tblGrid>
      <w:tr w:rsidR="00984982" w:rsidRPr="002058B3" w:rsidTr="00A917B5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pct"/>
            <w:vMerge w:val="restart"/>
          </w:tcPr>
          <w:p w:rsidR="00984982" w:rsidRPr="00145854" w:rsidRDefault="00984982" w:rsidP="00A917B5">
            <w:pPr>
              <w:spacing w:after="0"/>
              <w:rPr>
                <w:rFonts w:cs="Arial"/>
                <w:b w:val="0"/>
              </w:rPr>
            </w:pPr>
            <w:r w:rsidRPr="00145854">
              <w:rPr>
                <w:rFonts w:cs="Arial"/>
              </w:rPr>
              <w:t xml:space="preserve">Indicate which compliance </w:t>
            </w:r>
            <w:r w:rsidR="006471AF" w:rsidRPr="00145854">
              <w:rPr>
                <w:rFonts w:cs="Arial"/>
              </w:rPr>
              <w:t xml:space="preserve">pathway </w:t>
            </w:r>
            <w:r w:rsidRPr="00145854">
              <w:rPr>
                <w:rFonts w:cs="Arial"/>
              </w:rPr>
              <w:t>has been selected and fill in the corresponding section below.</w:t>
            </w:r>
          </w:p>
          <w:p w:rsidR="00984982" w:rsidRPr="00145854" w:rsidRDefault="00984982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Select one option.</w:t>
            </w:r>
          </w:p>
        </w:tc>
        <w:tc>
          <w:tcPr>
            <w:tcW w:w="2530" w:type="pct"/>
          </w:tcPr>
          <w:p w:rsidR="00984982" w:rsidRPr="00145854" w:rsidRDefault="006471AF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i/>
              </w:rPr>
            </w:pPr>
            <w:r w:rsidRPr="00145854">
              <w:rPr>
                <w:rFonts w:cs="Arial"/>
                <w:b/>
                <w:szCs w:val="20"/>
              </w:rPr>
              <w:t>13.1A</w:t>
            </w:r>
            <w:r w:rsidRPr="00145854">
              <w:rPr>
                <w:rFonts w:cs="Arial"/>
                <w:szCs w:val="20"/>
              </w:rPr>
              <w:t xml:space="preserve"> </w:t>
            </w:r>
            <w:r w:rsidR="00984982" w:rsidRPr="00145854">
              <w:rPr>
                <w:rFonts w:cs="Arial"/>
                <w:szCs w:val="20"/>
              </w:rPr>
              <w:t xml:space="preserve">Internal noise </w:t>
            </w:r>
            <w:r w:rsidR="00984982" w:rsidRPr="00145854">
              <w:rPr>
                <w:rFonts w:cs="Arial"/>
              </w:rPr>
              <w:t>levels have been measured, and validated as appropriate</w:t>
            </w:r>
            <w:r w:rsidRPr="00145854">
              <w:rPr>
                <w:rFonts w:cs="Arial"/>
              </w:rPr>
              <w:t>; or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cs="Arial"/>
                <w:color w:val="4BACC6" w:themeColor="accent5"/>
              </w:rPr>
              <w:id w:val="-516310879"/>
            </w:sdtPr>
            <w:sdtEndPr/>
            <w:sdtContent>
              <w:p w:rsidR="00984982" w:rsidRPr="00145854" w:rsidRDefault="00520242" w:rsidP="00A917B5">
                <w:pPr>
                  <w:spacing w:after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color w:val="4BACC6" w:themeColor="accent5"/>
                  </w:rPr>
                </w:pPr>
                <w:sdt>
                  <w:sdtPr>
                    <w:rPr>
                      <w:rFonts w:cs="Arial"/>
                      <w:color w:val="4BACC6" w:themeColor="accent5"/>
                    </w:rPr>
                    <w:id w:val="-143721609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75523" w:rsidRPr="00145854">
                      <w:rPr>
                        <w:rFonts w:ascii="Segoe UI Symbol" w:eastAsia="MS Gothic" w:hAnsi="Segoe UI Symbol" w:cs="Segoe UI Symbol"/>
                        <w:color w:val="4BACC6" w:themeColor="accent5"/>
                      </w:rPr>
                      <w:t>☐</w:t>
                    </w:r>
                  </w:sdtContent>
                </w:sdt>
              </w:p>
            </w:sdtContent>
          </w:sdt>
        </w:tc>
      </w:tr>
      <w:tr w:rsidR="00984982" w:rsidRPr="002058B3" w:rsidTr="00A917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46" w:type="pct"/>
            <w:vMerge/>
          </w:tcPr>
          <w:p w:rsidR="00984982" w:rsidRPr="00145854" w:rsidRDefault="00984982" w:rsidP="00A917B5">
            <w:pPr>
              <w:spacing w:after="0"/>
              <w:rPr>
                <w:rFonts w:cs="Arial"/>
              </w:rPr>
            </w:pPr>
          </w:p>
        </w:tc>
        <w:tc>
          <w:tcPr>
            <w:tcW w:w="2530" w:type="pct"/>
          </w:tcPr>
          <w:p w:rsidR="00A076EF" w:rsidRPr="00145854" w:rsidRDefault="006471AF" w:rsidP="00A917B5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 xml:space="preserve">13.1B </w:t>
            </w:r>
            <w:r w:rsidR="00984982" w:rsidRPr="00145854">
              <w:rPr>
                <w:rFonts w:cs="Arial"/>
              </w:rPr>
              <w:t>A NABERS Indoor Environment noise level rating has been achieved</w:t>
            </w:r>
            <w:r w:rsidRPr="00145854">
              <w:rPr>
                <w:rFonts w:cs="Arial"/>
              </w:rPr>
              <w:t>.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cs="Arial"/>
                <w:color w:val="4BACC6" w:themeColor="accent5"/>
              </w:rPr>
              <w:id w:val="1562821547"/>
            </w:sdtPr>
            <w:sdtEndPr/>
            <w:sdtContent>
              <w:p w:rsidR="00984982" w:rsidRPr="00145854" w:rsidRDefault="00520242" w:rsidP="00A917B5">
                <w:pPr>
                  <w:spacing w:after="0"/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cs="Arial"/>
                    <w:color w:val="4BACC6" w:themeColor="accent5"/>
                  </w:rPr>
                </w:pPr>
                <w:sdt>
                  <w:sdtPr>
                    <w:rPr>
                      <w:rFonts w:cs="Arial"/>
                      <w:color w:val="4BACC6" w:themeColor="accent5"/>
                    </w:rPr>
                    <w:id w:val="-4226372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22F8A" w:rsidRPr="00145854">
                      <w:rPr>
                        <w:rFonts w:ascii="Segoe UI Symbol" w:eastAsia="MS Gothic" w:hAnsi="Segoe UI Symbol" w:cs="Segoe UI Symbol"/>
                        <w:color w:val="4BACC6" w:themeColor="accent5"/>
                      </w:rPr>
                      <w:t>☐</w:t>
                    </w:r>
                  </w:sdtContent>
                </w:sdt>
              </w:p>
            </w:sdtContent>
          </w:sdt>
        </w:tc>
      </w:tr>
    </w:tbl>
    <w:p w:rsidR="00984982" w:rsidRPr="00145854" w:rsidRDefault="00984982" w:rsidP="00495CF8">
      <w:pPr>
        <w:rPr>
          <w:rFonts w:cs="Arial"/>
        </w:rPr>
      </w:pPr>
    </w:p>
    <w:p w:rsidR="00495CF8" w:rsidRPr="00145854" w:rsidRDefault="00682D62" w:rsidP="00A917B5">
      <w:pPr>
        <w:pStyle w:val="Heading2"/>
      </w:pPr>
      <w:r w:rsidRPr="00145854">
        <w:t xml:space="preserve">13.1A Internal </w:t>
      </w:r>
      <w:r w:rsidR="00984982" w:rsidRPr="00145854">
        <w:t>n</w:t>
      </w:r>
      <w:r w:rsidRPr="00145854">
        <w:t xml:space="preserve">oise </w:t>
      </w:r>
      <w:r w:rsidR="00984982" w:rsidRPr="00145854">
        <w:t>m</w:t>
      </w:r>
      <w:r w:rsidRPr="00145854">
        <w:t>easurement</w:t>
      </w:r>
    </w:p>
    <w:p w:rsidR="00477EDE" w:rsidRPr="00145854" w:rsidRDefault="00984982" w:rsidP="00F66581">
      <w:pPr>
        <w:rPr>
          <w:rFonts w:eastAsia="Times New Roman" w:cs="Arial"/>
          <w:b/>
        </w:rPr>
      </w:pPr>
      <w:r w:rsidRPr="00145854">
        <w:rPr>
          <w:rFonts w:cs="Arial"/>
        </w:rPr>
        <w:t xml:space="preserve">Describe how the internal noise levels in </w:t>
      </w:r>
      <w:r w:rsidRPr="00145854">
        <w:rPr>
          <w:rFonts w:cs="Arial"/>
          <w:iCs/>
        </w:rPr>
        <w:t>regularly occupied primary spaces</w:t>
      </w:r>
      <w:r w:rsidRPr="00145854">
        <w:rPr>
          <w:rFonts w:cs="Arial"/>
          <w:i/>
          <w:iCs/>
        </w:rPr>
        <w:t xml:space="preserve"> </w:t>
      </w:r>
      <w:r w:rsidRPr="00145854">
        <w:rPr>
          <w:rFonts w:cs="Arial"/>
        </w:rPr>
        <w:t>are measured and validated to be at appropriate levels, to meet the compliance requirements for each of the items below, by referencing supporting evidence attached to the Submission Template.</w:t>
      </w:r>
    </w:p>
    <w:p w:rsidR="00D76B52" w:rsidRPr="00145854" w:rsidRDefault="00D76B52" w:rsidP="00F66581">
      <w:pPr>
        <w:pStyle w:val="Heading40"/>
        <w:rPr>
          <w:rFonts w:cs="Arial"/>
        </w:rPr>
      </w:pPr>
      <w:r w:rsidRPr="00145854">
        <w:rPr>
          <w:rFonts w:cs="Arial"/>
        </w:rPr>
        <w:t>13.1</w:t>
      </w:r>
      <w:r w:rsidR="00477EDE" w:rsidRPr="00145854">
        <w:rPr>
          <w:rFonts w:cs="Arial"/>
        </w:rPr>
        <w:t>A</w:t>
      </w:r>
      <w:r w:rsidRPr="00145854">
        <w:rPr>
          <w:rFonts w:cs="Arial"/>
        </w:rPr>
        <w:t>.1 Frequency of Verification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DF0E45" w:rsidRPr="002058B3" w:rsidTr="00A917B5">
        <w:tc>
          <w:tcPr>
            <w:tcW w:w="2743" w:type="pct"/>
            <w:vAlign w:val="center"/>
          </w:tcPr>
          <w:p w:rsidR="00DF0E45" w:rsidRPr="00145854" w:rsidRDefault="00D76B52" w:rsidP="00A917B5">
            <w:pPr>
              <w:spacing w:after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Requirement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F0E45" w:rsidRPr="002058B3" w:rsidRDefault="00D76B52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2058B3">
              <w:rPr>
                <w:rStyle w:val="Strong"/>
                <w:rFonts w:cs="Arial"/>
              </w:rPr>
              <w:t>Supporting Evidence</w:t>
            </w:r>
          </w:p>
        </w:tc>
      </w:tr>
      <w:tr w:rsidR="009A6AD8" w:rsidRPr="002058B3" w:rsidTr="00A917B5">
        <w:tc>
          <w:tcPr>
            <w:tcW w:w="2743" w:type="pct"/>
            <w:vAlign w:val="center"/>
          </w:tcPr>
          <w:p w:rsidR="009A6AD8" w:rsidRPr="00145854" w:rsidRDefault="001F170C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13.1</w:t>
            </w:r>
            <w:r w:rsidR="00477EDE" w:rsidRPr="00145854">
              <w:rPr>
                <w:rFonts w:cs="Arial"/>
              </w:rPr>
              <w:t>A</w:t>
            </w:r>
            <w:r w:rsidRPr="00145854">
              <w:rPr>
                <w:rFonts w:cs="Arial"/>
              </w:rPr>
              <w:t xml:space="preserve">.1.1 </w:t>
            </w:r>
            <w:r w:rsidR="00A076EF" w:rsidRPr="00145854">
              <w:rPr>
                <w:rFonts w:cs="Arial"/>
              </w:rPr>
              <w:t>S</w:t>
            </w:r>
            <w:r w:rsidR="00984982" w:rsidRPr="00145854">
              <w:rPr>
                <w:rFonts w:cs="Arial"/>
              </w:rPr>
              <w:t>how that</w:t>
            </w:r>
            <w:r w:rsidR="00230D00" w:rsidRPr="00145854">
              <w:rPr>
                <w:rFonts w:cs="Arial"/>
              </w:rPr>
              <w:t xml:space="preserve"> </w:t>
            </w:r>
            <w:r w:rsidR="00C21DC4" w:rsidRPr="00145854">
              <w:rPr>
                <w:rFonts w:cs="Arial"/>
              </w:rPr>
              <w:t xml:space="preserve">a verification of </w:t>
            </w:r>
            <w:r w:rsidR="001D339D" w:rsidRPr="00145854">
              <w:rPr>
                <w:rFonts w:cs="Arial"/>
              </w:rPr>
              <w:t xml:space="preserve">sound levels </w:t>
            </w:r>
            <w:r w:rsidR="00230D00" w:rsidRPr="00145854">
              <w:rPr>
                <w:rFonts w:cs="Arial"/>
              </w:rPr>
              <w:t xml:space="preserve">has </w:t>
            </w:r>
            <w:r w:rsidR="00C21DC4" w:rsidRPr="00145854">
              <w:rPr>
                <w:rFonts w:cs="Arial"/>
              </w:rPr>
              <w:t xml:space="preserve">taken place at least once during the </w:t>
            </w:r>
            <w:r w:rsidR="00C21DC4" w:rsidRPr="00145854">
              <w:rPr>
                <w:rFonts w:cs="Arial"/>
                <w:i/>
              </w:rPr>
              <w:t>performance period</w:t>
            </w:r>
            <w:r w:rsidR="00C21DC4" w:rsidRPr="00145854">
              <w:rPr>
                <w:rFonts w:cs="Arial"/>
              </w:rPr>
              <w:t xml:space="preserve"> during the normal operation of</w:t>
            </w:r>
            <w:r w:rsidR="00D519C2" w:rsidRPr="00145854">
              <w:rPr>
                <w:rFonts w:cs="Arial"/>
              </w:rPr>
              <w:t xml:space="preserve"> the</w:t>
            </w:r>
            <w:r w:rsidR="00C21DC4" w:rsidRPr="00145854">
              <w:rPr>
                <w:rFonts w:cs="Arial"/>
              </w:rPr>
              <w:t xml:space="preserve"> building</w:t>
            </w:r>
            <w:r w:rsidR="00D519C2" w:rsidRPr="00145854">
              <w:rPr>
                <w:rFonts w:cs="Arial"/>
              </w:rPr>
              <w:t>’s</w:t>
            </w:r>
            <w:r w:rsidR="00C21DC4" w:rsidRPr="00145854">
              <w:rPr>
                <w:rFonts w:cs="Arial"/>
              </w:rPr>
              <w:t xml:space="preserve"> systems.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9A6AD8" w:rsidRPr="002058B3" w:rsidRDefault="002345E8" w:rsidP="00A917B5">
            <w:pPr>
              <w:spacing w:after="0"/>
              <w:rPr>
                <w:rStyle w:val="Strong"/>
                <w:rFonts w:cs="Arial"/>
              </w:rPr>
            </w:pPr>
            <w:r w:rsidRPr="00145854">
              <w:rPr>
                <w:rFonts w:cs="Arial"/>
                <w:i/>
                <w:color w:val="A6A6A6" w:themeColor="background1" w:themeShade="A6"/>
              </w:rPr>
              <w:t>E.g.</w:t>
            </w:r>
            <w:r w:rsidR="00D76B52" w:rsidRPr="00145854">
              <w:rPr>
                <w:rFonts w:cs="Arial"/>
                <w:i/>
                <w:color w:val="A6A6A6" w:themeColor="background1" w:themeShade="A6"/>
              </w:rPr>
              <w:t xml:space="preserve"> sound level measurement results. </w:t>
            </w:r>
          </w:p>
        </w:tc>
      </w:tr>
    </w:tbl>
    <w:p w:rsidR="00D76B52" w:rsidRPr="00145854" w:rsidRDefault="00D76B52" w:rsidP="00A917B5">
      <w:pPr>
        <w:spacing w:after="0"/>
        <w:rPr>
          <w:rFonts w:cs="Arial"/>
        </w:rPr>
      </w:pPr>
    </w:p>
    <w:p w:rsidR="007B4C7F" w:rsidRDefault="007B4C7F">
      <w:pPr>
        <w:spacing w:after="0" w:line="240" w:lineRule="auto"/>
        <w:rPr>
          <w:rFonts w:eastAsiaTheme="majorEastAsia" w:cs="Arial"/>
          <w:b/>
          <w:bCs/>
        </w:rPr>
      </w:pPr>
    </w:p>
    <w:p w:rsidR="00D76B52" w:rsidRPr="00145854" w:rsidRDefault="00D76B52" w:rsidP="00F66581">
      <w:pPr>
        <w:pStyle w:val="Heading40"/>
        <w:rPr>
          <w:rFonts w:cs="Arial"/>
        </w:rPr>
      </w:pPr>
      <w:r w:rsidRPr="00145854">
        <w:rPr>
          <w:rFonts w:cs="Arial"/>
        </w:rPr>
        <w:t>13.1</w:t>
      </w:r>
      <w:r w:rsidR="00477EDE" w:rsidRPr="00145854">
        <w:rPr>
          <w:rFonts w:cs="Arial"/>
        </w:rPr>
        <w:t>A</w:t>
      </w:r>
      <w:r w:rsidRPr="00145854">
        <w:rPr>
          <w:rFonts w:cs="Arial"/>
        </w:rPr>
        <w:t xml:space="preserve">.2 Location of </w:t>
      </w:r>
      <w:r w:rsidR="00477EDE" w:rsidRPr="00145854">
        <w:rPr>
          <w:rFonts w:cs="Arial"/>
        </w:rPr>
        <w:t>v</w:t>
      </w:r>
      <w:r w:rsidRPr="00145854">
        <w:rPr>
          <w:rFonts w:cs="Arial"/>
        </w:rPr>
        <w:t>erification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D76B52" w:rsidRPr="002058B3" w:rsidTr="00A917B5">
        <w:tc>
          <w:tcPr>
            <w:tcW w:w="2743" w:type="pct"/>
            <w:vAlign w:val="center"/>
          </w:tcPr>
          <w:p w:rsidR="00D76B52" w:rsidRPr="00145854" w:rsidRDefault="00D76B52" w:rsidP="00A917B5">
            <w:pPr>
              <w:spacing w:after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Requirement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D76B52" w:rsidRPr="002058B3" w:rsidRDefault="00D76B52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2058B3">
              <w:rPr>
                <w:rStyle w:val="Strong"/>
                <w:rFonts w:cs="Arial"/>
              </w:rPr>
              <w:t>Supporting Evidence</w:t>
            </w:r>
          </w:p>
        </w:tc>
      </w:tr>
      <w:tr w:rsidR="009A6AD8" w:rsidRPr="002058B3" w:rsidTr="00A917B5">
        <w:tc>
          <w:tcPr>
            <w:tcW w:w="2743" w:type="pct"/>
            <w:vAlign w:val="center"/>
          </w:tcPr>
          <w:p w:rsidR="001D339D" w:rsidRPr="00145854" w:rsidRDefault="00984982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Show that t</w:t>
            </w:r>
            <w:r w:rsidR="00230D00" w:rsidRPr="00145854">
              <w:rPr>
                <w:rFonts w:cs="Arial"/>
              </w:rPr>
              <w:t>he</w:t>
            </w:r>
            <w:r w:rsidR="001D339D" w:rsidRPr="00145854">
              <w:rPr>
                <w:rFonts w:cs="Arial"/>
              </w:rPr>
              <w:t xml:space="preserve"> location of sound level </w:t>
            </w:r>
            <w:r w:rsidR="009E1E15" w:rsidRPr="00145854">
              <w:rPr>
                <w:rFonts w:cs="Arial"/>
              </w:rPr>
              <w:t>testing</w:t>
            </w:r>
            <w:r w:rsidR="001D339D" w:rsidRPr="00145854">
              <w:rPr>
                <w:rFonts w:cs="Arial"/>
              </w:rPr>
              <w:t xml:space="preserve"> </w:t>
            </w:r>
            <w:r w:rsidR="00D519C2" w:rsidRPr="00145854">
              <w:rPr>
                <w:rFonts w:cs="Arial"/>
              </w:rPr>
              <w:t xml:space="preserve">has </w:t>
            </w:r>
            <w:r w:rsidR="00477EDE" w:rsidRPr="00145854">
              <w:rPr>
                <w:rFonts w:cs="Arial"/>
              </w:rPr>
              <w:t>taken place</w:t>
            </w:r>
            <w:r w:rsidR="009E1E15" w:rsidRPr="00145854">
              <w:rPr>
                <w:rFonts w:cs="Arial"/>
              </w:rPr>
              <w:t xml:space="preserve"> in</w:t>
            </w:r>
            <w:r w:rsidR="001D339D" w:rsidRPr="00145854">
              <w:rPr>
                <w:rFonts w:cs="Arial"/>
              </w:rPr>
              <w:t>:</w:t>
            </w:r>
          </w:p>
          <w:p w:rsidR="001D339D" w:rsidRPr="00145854" w:rsidRDefault="001D339D" w:rsidP="00A917B5">
            <w:pPr>
              <w:pStyle w:val="L1dots"/>
              <w:spacing w:after="0"/>
              <w:rPr>
                <w:rFonts w:cs="Arial"/>
                <w:szCs w:val="22"/>
              </w:rPr>
            </w:pPr>
            <w:r w:rsidRPr="00145854">
              <w:rPr>
                <w:rFonts w:cs="Arial"/>
                <w:szCs w:val="22"/>
              </w:rPr>
              <w:t>Those locations at which the noise is of interest, as described by AS 1055.1</w:t>
            </w:r>
            <w:r w:rsidR="00477EDE" w:rsidRPr="00145854">
              <w:rPr>
                <w:rFonts w:cs="Arial"/>
                <w:szCs w:val="22"/>
              </w:rPr>
              <w:t>-</w:t>
            </w:r>
            <w:r w:rsidRPr="00145854">
              <w:rPr>
                <w:rFonts w:cs="Arial"/>
                <w:szCs w:val="22"/>
              </w:rPr>
              <w:t>1997</w:t>
            </w:r>
            <w:r w:rsidR="00613359" w:rsidRPr="00145854">
              <w:rPr>
                <w:rFonts w:cs="Arial"/>
                <w:szCs w:val="22"/>
              </w:rPr>
              <w:t xml:space="preserve"> (for Australian projects) or NZS 6801:2008 (for New Zealand projects)</w:t>
            </w:r>
            <w:r w:rsidRPr="00145854">
              <w:rPr>
                <w:rFonts w:cs="Arial"/>
                <w:szCs w:val="22"/>
              </w:rPr>
              <w:t xml:space="preserve">; and </w:t>
            </w:r>
          </w:p>
          <w:p w:rsidR="009A6AD8" w:rsidRPr="00145854" w:rsidRDefault="00477EDE" w:rsidP="00A917B5">
            <w:pPr>
              <w:pStyle w:val="L1dots"/>
              <w:spacing w:after="0"/>
              <w:rPr>
                <w:rFonts w:cs="Arial"/>
                <w:szCs w:val="22"/>
              </w:rPr>
            </w:pPr>
            <w:r w:rsidRPr="00145854">
              <w:rPr>
                <w:rFonts w:cs="Arial"/>
                <w:szCs w:val="22"/>
              </w:rPr>
              <w:t xml:space="preserve">All </w:t>
            </w:r>
            <w:r w:rsidR="009E1E15" w:rsidRPr="00145854">
              <w:rPr>
                <w:rFonts w:cs="Arial"/>
                <w:szCs w:val="22"/>
              </w:rPr>
              <w:t xml:space="preserve">ROPS identified under 13.1.2 </w:t>
            </w:r>
            <w:r w:rsidR="009E1E15" w:rsidRPr="00145854">
              <w:rPr>
                <w:rFonts w:cs="Arial"/>
                <w:i/>
                <w:szCs w:val="22"/>
              </w:rPr>
              <w:t xml:space="preserve">Location of Verification </w:t>
            </w:r>
            <w:r w:rsidR="009E1E15" w:rsidRPr="00145854">
              <w:rPr>
                <w:rFonts w:cs="Arial"/>
                <w:szCs w:val="22"/>
              </w:rPr>
              <w:t>in the Submission Guidelines</w:t>
            </w:r>
            <w:r w:rsidR="00D519C2" w:rsidRPr="00145854">
              <w:rPr>
                <w:rFonts w:cs="Arial"/>
                <w:szCs w:val="22"/>
              </w:rPr>
              <w:t>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9A6AD8" w:rsidRPr="00145854" w:rsidRDefault="002345E8" w:rsidP="00A917B5">
            <w:pPr>
              <w:spacing w:after="0"/>
              <w:rPr>
                <w:rStyle w:val="Strong"/>
                <w:rFonts w:cs="Arial"/>
              </w:rPr>
            </w:pPr>
            <w:r w:rsidRPr="00145854">
              <w:rPr>
                <w:rFonts w:cs="Arial"/>
                <w:i/>
                <w:color w:val="A6A6A6" w:themeColor="background1" w:themeShade="A6"/>
              </w:rPr>
              <w:t xml:space="preserve">E.g. </w:t>
            </w:r>
            <w:r w:rsidR="00D76B52" w:rsidRPr="00145854">
              <w:rPr>
                <w:rFonts w:cs="Arial"/>
                <w:i/>
                <w:color w:val="A6A6A6" w:themeColor="background1" w:themeShade="A6"/>
              </w:rPr>
              <w:t>short report from suitably qualified professional.</w:t>
            </w:r>
          </w:p>
        </w:tc>
      </w:tr>
    </w:tbl>
    <w:p w:rsidR="00D76B52" w:rsidRPr="00145854" w:rsidRDefault="00D76B52" w:rsidP="00A917B5">
      <w:pPr>
        <w:spacing w:after="0"/>
        <w:rPr>
          <w:rFonts w:cs="Arial"/>
        </w:rPr>
      </w:pPr>
    </w:p>
    <w:p w:rsidR="00D76B52" w:rsidRPr="00145854" w:rsidRDefault="00D76B52" w:rsidP="00F66581">
      <w:pPr>
        <w:pStyle w:val="Heading40"/>
        <w:rPr>
          <w:rFonts w:cs="Arial"/>
        </w:rPr>
      </w:pPr>
      <w:r w:rsidRPr="00145854">
        <w:rPr>
          <w:rFonts w:cs="Arial"/>
        </w:rPr>
        <w:t>13.1</w:t>
      </w:r>
      <w:r w:rsidR="00477EDE" w:rsidRPr="00145854">
        <w:rPr>
          <w:rFonts w:cs="Arial"/>
        </w:rPr>
        <w:t>A</w:t>
      </w:r>
      <w:r w:rsidRPr="00145854">
        <w:rPr>
          <w:rFonts w:cs="Arial"/>
        </w:rPr>
        <w:t xml:space="preserve">.3 Internal </w:t>
      </w:r>
      <w:r w:rsidR="009A4A40" w:rsidRPr="00145854">
        <w:rPr>
          <w:rFonts w:cs="Arial"/>
        </w:rPr>
        <w:t>n</w:t>
      </w:r>
      <w:r w:rsidRPr="00145854">
        <w:rPr>
          <w:rFonts w:cs="Arial"/>
        </w:rPr>
        <w:t xml:space="preserve">oise </w:t>
      </w:r>
      <w:r w:rsidR="009A4A40" w:rsidRPr="00145854">
        <w:rPr>
          <w:rFonts w:cs="Arial"/>
        </w:rPr>
        <w:t>l</w:t>
      </w:r>
      <w:r w:rsidRPr="00145854">
        <w:rPr>
          <w:rFonts w:cs="Arial"/>
        </w:rPr>
        <w:t>evels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477EDE" w:rsidRPr="002058B3" w:rsidTr="00A917B5">
        <w:trPr>
          <w:tblHeader/>
        </w:trPr>
        <w:tc>
          <w:tcPr>
            <w:tcW w:w="2743" w:type="pct"/>
            <w:vAlign w:val="center"/>
          </w:tcPr>
          <w:p w:rsidR="00477EDE" w:rsidRPr="00145854" w:rsidRDefault="00477EDE" w:rsidP="00A917B5">
            <w:pPr>
              <w:spacing w:after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Requirements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477EDE" w:rsidRPr="002058B3" w:rsidRDefault="00477EDE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2058B3">
              <w:rPr>
                <w:rStyle w:val="Strong"/>
                <w:rFonts w:cs="Arial"/>
              </w:rPr>
              <w:t>Supporting Evidence</w:t>
            </w:r>
          </w:p>
        </w:tc>
      </w:tr>
      <w:tr w:rsidR="00477EDE" w:rsidRPr="002058B3" w:rsidTr="00A917B5">
        <w:tc>
          <w:tcPr>
            <w:tcW w:w="2743" w:type="pct"/>
            <w:vAlign w:val="center"/>
          </w:tcPr>
          <w:p w:rsidR="00477EDE" w:rsidRPr="00145854" w:rsidRDefault="00477EDE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13.1A.3.1 Show that the sound level measurements have been verified against the current version of Australian Standard AS/NZS 2107 as applicable to the relevant space use.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477EDE" w:rsidRPr="002058B3" w:rsidRDefault="00477EDE" w:rsidP="00A917B5">
            <w:pPr>
              <w:spacing w:after="0"/>
              <w:rPr>
                <w:rStyle w:val="Strong"/>
                <w:rFonts w:cs="Arial"/>
              </w:rPr>
            </w:pPr>
            <w:r w:rsidRPr="00145854">
              <w:rPr>
                <w:rFonts w:cs="Arial"/>
                <w:i/>
                <w:color w:val="A6A6A6" w:themeColor="background1" w:themeShade="A6"/>
              </w:rPr>
              <w:t xml:space="preserve">E.g. sound level measurement results. </w:t>
            </w:r>
          </w:p>
        </w:tc>
      </w:tr>
      <w:tr w:rsidR="00477EDE" w:rsidRPr="002058B3" w:rsidTr="00A917B5">
        <w:tc>
          <w:tcPr>
            <w:tcW w:w="2743" w:type="pct"/>
            <w:vAlign w:val="center"/>
          </w:tcPr>
          <w:p w:rsidR="00477EDE" w:rsidRPr="00145854" w:rsidRDefault="00477EDE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 xml:space="preserve">13.1A.3.2 </w:t>
            </w:r>
            <w:r w:rsidR="00640E1F" w:rsidRPr="00145854">
              <w:rPr>
                <w:rFonts w:cs="Arial"/>
              </w:rPr>
              <w:t>Verify that all sound level measurements in ROPS are within the ‘satisfactory’ sound levels provided in AS/NZS 2107.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477EDE" w:rsidRPr="002058B3" w:rsidRDefault="00477EDE" w:rsidP="00A917B5">
            <w:pPr>
              <w:spacing w:after="0"/>
              <w:rPr>
                <w:rStyle w:val="Strong"/>
                <w:rFonts w:cs="Arial"/>
              </w:rPr>
            </w:pPr>
            <w:r w:rsidRPr="00145854">
              <w:rPr>
                <w:rFonts w:cs="Arial"/>
                <w:i/>
                <w:color w:val="A6A6A6" w:themeColor="background1" w:themeShade="A6"/>
              </w:rPr>
              <w:t>E.g. sound level measurement results.</w:t>
            </w:r>
          </w:p>
        </w:tc>
      </w:tr>
    </w:tbl>
    <w:p w:rsidR="00477EDE" w:rsidRPr="00145854" w:rsidRDefault="00477EDE" w:rsidP="00A917B5">
      <w:pPr>
        <w:pStyle w:val="Heading40"/>
        <w:spacing w:before="0" w:after="0"/>
        <w:rPr>
          <w:rFonts w:cs="Arial"/>
        </w:rPr>
      </w:pPr>
    </w:p>
    <w:p w:rsidR="00214461" w:rsidRPr="00145854" w:rsidRDefault="00214461">
      <w:pPr>
        <w:pStyle w:val="Heading40"/>
        <w:rPr>
          <w:rFonts w:cs="Arial"/>
        </w:rPr>
      </w:pPr>
      <w:r w:rsidRPr="00145854">
        <w:rPr>
          <w:rFonts w:cs="Arial"/>
        </w:rPr>
        <w:lastRenderedPageBreak/>
        <w:t>13.1A.4 Provisions for naturally ventilated buildings</w:t>
      </w:r>
    </w:p>
    <w:p w:rsidR="00774F97" w:rsidRPr="00145854" w:rsidRDefault="00774F97" w:rsidP="00A917B5">
      <w:pPr>
        <w:rPr>
          <w:rFonts w:cs="Arial"/>
          <w:b/>
          <w:bCs/>
        </w:rPr>
      </w:pPr>
      <w:r w:rsidRPr="00145854">
        <w:rPr>
          <w:rFonts w:cs="Arial"/>
        </w:rPr>
        <w:t>Where the building is naturally ventilated, please complete the following</w:t>
      </w:r>
      <w:r w:rsidR="006471AF" w:rsidRPr="00145854">
        <w:rPr>
          <w:rFonts w:cs="Arial"/>
        </w:rPr>
        <w:t>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214461" w:rsidRPr="002058B3" w:rsidTr="00A917B5">
        <w:tc>
          <w:tcPr>
            <w:tcW w:w="2743" w:type="pct"/>
            <w:vAlign w:val="center"/>
          </w:tcPr>
          <w:p w:rsidR="00214461" w:rsidRPr="00145854" w:rsidRDefault="00214461" w:rsidP="00A917B5">
            <w:pPr>
              <w:spacing w:after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Requirements</w:t>
            </w:r>
          </w:p>
        </w:tc>
        <w:tc>
          <w:tcPr>
            <w:tcW w:w="2257" w:type="pct"/>
            <w:shd w:val="clear" w:color="auto" w:fill="auto"/>
            <w:vAlign w:val="center"/>
          </w:tcPr>
          <w:p w:rsidR="00214461" w:rsidRPr="002058B3" w:rsidRDefault="00214461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2058B3">
              <w:rPr>
                <w:rStyle w:val="Strong"/>
                <w:rFonts w:cs="Arial"/>
              </w:rPr>
              <w:t>Supporting Evidence</w:t>
            </w:r>
          </w:p>
        </w:tc>
      </w:tr>
      <w:tr w:rsidR="00214461" w:rsidRPr="002058B3" w:rsidTr="00A917B5">
        <w:tc>
          <w:tcPr>
            <w:tcW w:w="2743" w:type="pct"/>
            <w:vAlign w:val="center"/>
          </w:tcPr>
          <w:p w:rsidR="00214461" w:rsidRPr="00145854" w:rsidRDefault="00214461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13.1A.</w:t>
            </w:r>
            <w:r w:rsidR="00640E1F" w:rsidRPr="00145854">
              <w:rPr>
                <w:rFonts w:cs="Arial"/>
              </w:rPr>
              <w:t>4</w:t>
            </w:r>
            <w:r w:rsidRPr="00145854">
              <w:rPr>
                <w:rFonts w:cs="Arial"/>
              </w:rPr>
              <w:t>.1 Verify that, in naturally ventilated buildings, all measurements have been carried out with natural ventilation openings in the open position.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214461" w:rsidRPr="002058B3" w:rsidRDefault="00214461" w:rsidP="00A917B5">
            <w:pPr>
              <w:spacing w:after="0"/>
              <w:rPr>
                <w:rStyle w:val="Strong"/>
                <w:rFonts w:cs="Arial"/>
              </w:rPr>
            </w:pPr>
            <w:r w:rsidRPr="00145854">
              <w:rPr>
                <w:rFonts w:cs="Arial"/>
                <w:i/>
                <w:color w:val="A6A6A6" w:themeColor="background1" w:themeShade="A6"/>
              </w:rPr>
              <w:t xml:space="preserve">E.g. sound level measurement results. </w:t>
            </w:r>
          </w:p>
        </w:tc>
      </w:tr>
      <w:tr w:rsidR="00214461" w:rsidRPr="002058B3" w:rsidTr="00A917B5">
        <w:tc>
          <w:tcPr>
            <w:tcW w:w="2743" w:type="pct"/>
            <w:vAlign w:val="center"/>
          </w:tcPr>
          <w:p w:rsidR="00214461" w:rsidRPr="00145854" w:rsidRDefault="00214461" w:rsidP="00640E1F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13.1A.</w:t>
            </w:r>
            <w:r w:rsidR="00640E1F" w:rsidRPr="00145854">
              <w:rPr>
                <w:rFonts w:cs="Arial"/>
              </w:rPr>
              <w:t>4</w:t>
            </w:r>
            <w:r w:rsidRPr="00145854">
              <w:rPr>
                <w:rFonts w:cs="Arial"/>
              </w:rPr>
              <w:t xml:space="preserve">.2 Verify that all sound level measurements in </w:t>
            </w:r>
            <w:r w:rsidR="00640E1F" w:rsidRPr="00145854">
              <w:rPr>
                <w:rFonts w:cs="Arial"/>
              </w:rPr>
              <w:t>in natural ventilated buildings are no more than 10dB(A) above the lower figure in the range recommended in</w:t>
            </w:r>
            <w:r w:rsidRPr="00145854">
              <w:rPr>
                <w:rFonts w:cs="Arial"/>
              </w:rPr>
              <w:t xml:space="preserve"> ‘satisfactory’ sound levels provided in AS/NZS 2107.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214461" w:rsidRPr="002058B3" w:rsidRDefault="00214461" w:rsidP="00A917B5">
            <w:pPr>
              <w:spacing w:after="0"/>
              <w:rPr>
                <w:rStyle w:val="Strong"/>
                <w:rFonts w:cs="Arial"/>
              </w:rPr>
            </w:pPr>
            <w:r w:rsidRPr="00145854">
              <w:rPr>
                <w:rFonts w:cs="Arial"/>
                <w:i/>
                <w:color w:val="A6A6A6" w:themeColor="background1" w:themeShade="A6"/>
              </w:rPr>
              <w:t>E.g. sound level measurement results.</w:t>
            </w:r>
          </w:p>
        </w:tc>
      </w:tr>
    </w:tbl>
    <w:p w:rsidR="00D2360D" w:rsidRPr="00145854" w:rsidRDefault="00D2360D" w:rsidP="00A917B5">
      <w:pPr>
        <w:pStyle w:val="Heading40"/>
        <w:spacing w:before="0" w:after="0"/>
        <w:rPr>
          <w:rFonts w:cs="Arial"/>
        </w:rPr>
      </w:pPr>
    </w:p>
    <w:p w:rsidR="007B4C7F" w:rsidRDefault="007B4C7F" w:rsidP="00F66581">
      <w:pPr>
        <w:pStyle w:val="Heading40"/>
        <w:rPr>
          <w:rFonts w:cs="Arial"/>
        </w:rPr>
      </w:pPr>
    </w:p>
    <w:p w:rsidR="00D76B52" w:rsidRPr="00145854" w:rsidRDefault="00D76B52" w:rsidP="00F66581">
      <w:pPr>
        <w:pStyle w:val="Heading40"/>
        <w:rPr>
          <w:rFonts w:cs="Arial"/>
        </w:rPr>
      </w:pPr>
      <w:r w:rsidRPr="00145854">
        <w:rPr>
          <w:rFonts w:cs="Arial"/>
        </w:rPr>
        <w:t>13.1</w:t>
      </w:r>
      <w:r w:rsidR="00477EDE" w:rsidRPr="00145854">
        <w:rPr>
          <w:rFonts w:cs="Arial"/>
        </w:rPr>
        <w:t>A</w:t>
      </w:r>
      <w:r w:rsidRPr="00145854">
        <w:rPr>
          <w:rFonts w:cs="Arial"/>
        </w:rPr>
        <w:t>.</w:t>
      </w:r>
      <w:r w:rsidR="00477EDE" w:rsidRPr="00145854">
        <w:rPr>
          <w:rFonts w:cs="Arial"/>
        </w:rPr>
        <w:t>5</w:t>
      </w:r>
      <w:r w:rsidRPr="00145854">
        <w:rPr>
          <w:rFonts w:cs="Arial"/>
        </w:rPr>
        <w:t xml:space="preserve"> Recording and </w:t>
      </w:r>
      <w:r w:rsidR="00477EDE" w:rsidRPr="00145854">
        <w:rPr>
          <w:rFonts w:cs="Arial"/>
        </w:rPr>
        <w:t>r</w:t>
      </w:r>
      <w:r w:rsidRPr="00145854">
        <w:rPr>
          <w:rFonts w:cs="Arial"/>
        </w:rPr>
        <w:t>eporting</w:t>
      </w:r>
    </w:p>
    <w:tbl>
      <w:tblPr>
        <w:tblStyle w:val="Style1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2768"/>
        <w:gridCol w:w="1307"/>
      </w:tblGrid>
      <w:tr w:rsidR="00214461" w:rsidRPr="002058B3" w:rsidTr="00A917B5">
        <w:tc>
          <w:tcPr>
            <w:tcW w:w="2743" w:type="pct"/>
            <w:vAlign w:val="center"/>
          </w:tcPr>
          <w:p w:rsidR="00214461" w:rsidRPr="00145854" w:rsidRDefault="00214461" w:rsidP="00A917B5">
            <w:pPr>
              <w:spacing w:after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Requirements</w:t>
            </w:r>
          </w:p>
        </w:tc>
        <w:tc>
          <w:tcPr>
            <w:tcW w:w="2257" w:type="pct"/>
            <w:gridSpan w:val="2"/>
            <w:shd w:val="clear" w:color="auto" w:fill="auto"/>
            <w:vAlign w:val="center"/>
          </w:tcPr>
          <w:p w:rsidR="00214461" w:rsidRPr="00145854" w:rsidRDefault="00214461" w:rsidP="00A917B5">
            <w:pPr>
              <w:spacing w:after="0"/>
              <w:rPr>
                <w:rFonts w:cs="Arial"/>
                <w:b/>
                <w:bCs/>
              </w:rPr>
            </w:pPr>
            <w:r w:rsidRPr="00145854">
              <w:rPr>
                <w:rFonts w:cs="Arial"/>
                <w:b/>
                <w:bCs/>
              </w:rPr>
              <w:t>Supporting Evidence</w:t>
            </w:r>
          </w:p>
        </w:tc>
      </w:tr>
      <w:tr w:rsidR="00214461" w:rsidRPr="002058B3" w:rsidTr="00A917B5">
        <w:tc>
          <w:tcPr>
            <w:tcW w:w="4276" w:type="pct"/>
            <w:gridSpan w:val="2"/>
            <w:vAlign w:val="center"/>
          </w:tcPr>
          <w:p w:rsidR="00214461" w:rsidRPr="00145854" w:rsidRDefault="00214461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 xml:space="preserve">13.1A.5.1 </w:t>
            </w:r>
            <w:r w:rsidR="00774F97" w:rsidRPr="00145854">
              <w:rPr>
                <w:rFonts w:cs="Arial"/>
              </w:rPr>
              <w:t>A</w:t>
            </w:r>
            <w:r w:rsidRPr="00145854">
              <w:rPr>
                <w:rFonts w:cs="Arial"/>
              </w:rPr>
              <w:t>ll results have been input into the Acoustic Comfort Calculator.</w:t>
            </w:r>
          </w:p>
        </w:tc>
        <w:sdt>
          <w:sdtPr>
            <w:rPr>
              <w:rFonts w:cs="Arial"/>
              <w:bCs/>
              <w:color w:val="4BACC6" w:themeColor="accent5"/>
            </w:rPr>
            <w:id w:val="116328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shd w:val="clear" w:color="auto" w:fill="FFFFFF" w:themeFill="background1"/>
                <w:vAlign w:val="center"/>
              </w:tcPr>
              <w:p w:rsidR="00214461" w:rsidRPr="00145854" w:rsidRDefault="00D01D44" w:rsidP="00A917B5">
                <w:pPr>
                  <w:spacing w:after="0"/>
                  <w:jc w:val="center"/>
                  <w:rPr>
                    <w:rFonts w:cs="Arial"/>
                    <w:bCs/>
                    <w:i/>
                    <w:color w:val="4BACC6" w:themeColor="accent5"/>
                  </w:rPr>
                </w:pPr>
                <w:r w:rsidRPr="002058B3">
                  <w:rPr>
                    <w:rFonts w:ascii="Segoe UI Symbol" w:eastAsia="MS Gothic" w:hAnsi="Segoe UI Symbol" w:cs="Segoe UI Symbol"/>
                    <w:bCs/>
                    <w:color w:val="4BACC6" w:themeColor="accent5"/>
                  </w:rPr>
                  <w:t>☐</w:t>
                </w:r>
              </w:p>
            </w:tc>
          </w:sdtContent>
        </w:sdt>
      </w:tr>
      <w:tr w:rsidR="00214461" w:rsidRPr="002058B3" w:rsidTr="00A917B5">
        <w:tc>
          <w:tcPr>
            <w:tcW w:w="4276" w:type="pct"/>
            <w:gridSpan w:val="2"/>
            <w:vAlign w:val="center"/>
          </w:tcPr>
          <w:p w:rsidR="00214461" w:rsidRPr="00145854" w:rsidRDefault="00214461" w:rsidP="00A917B5">
            <w:pPr>
              <w:spacing w:after="0"/>
              <w:rPr>
                <w:rFonts w:eastAsia="Calibri" w:cs="Arial"/>
              </w:rPr>
            </w:pPr>
            <w:r w:rsidRPr="00145854">
              <w:rPr>
                <w:rFonts w:cs="Arial"/>
              </w:rPr>
              <w:t xml:space="preserve">13.1A.5.2 </w:t>
            </w:r>
            <w:r w:rsidR="00BF68E7" w:rsidRPr="00145854">
              <w:rPr>
                <w:rFonts w:cs="Arial"/>
              </w:rPr>
              <w:t>V</w:t>
            </w:r>
            <w:r w:rsidRPr="00145854">
              <w:rPr>
                <w:rFonts w:cs="Arial"/>
              </w:rPr>
              <w:t xml:space="preserve">erification measurements have been tabulated </w:t>
            </w:r>
            <w:r w:rsidR="00BF68E7" w:rsidRPr="00145854">
              <w:rPr>
                <w:rFonts w:cs="Arial"/>
              </w:rPr>
              <w:t>in the Acoustic Comfort Calculator</w:t>
            </w:r>
            <w:r w:rsidR="006471AF" w:rsidRPr="00145854">
              <w:rPr>
                <w:rFonts w:cs="Arial"/>
              </w:rPr>
              <w:t>.</w:t>
            </w:r>
            <w:r w:rsidR="00BF68E7" w:rsidRPr="00145854">
              <w:rPr>
                <w:rFonts w:cs="Arial"/>
              </w:rPr>
              <w:t xml:space="preserve"> </w:t>
            </w:r>
          </w:p>
        </w:tc>
        <w:sdt>
          <w:sdtPr>
            <w:rPr>
              <w:rFonts w:cs="Arial"/>
              <w:bCs/>
              <w:color w:val="4BACC6" w:themeColor="accent5"/>
            </w:rPr>
            <w:id w:val="98620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shd w:val="clear" w:color="auto" w:fill="FFFFFF" w:themeFill="background1"/>
                <w:vAlign w:val="center"/>
              </w:tcPr>
              <w:p w:rsidR="00214461" w:rsidRPr="00145854" w:rsidRDefault="00774F97" w:rsidP="00A917B5">
                <w:pPr>
                  <w:spacing w:after="0"/>
                  <w:jc w:val="center"/>
                  <w:rPr>
                    <w:rFonts w:cs="Arial"/>
                    <w:bCs/>
                    <w:color w:val="4BACC6" w:themeColor="accent5"/>
                  </w:rPr>
                </w:pPr>
                <w:r w:rsidRPr="002058B3">
                  <w:rPr>
                    <w:rFonts w:ascii="Segoe UI Symbol" w:eastAsia="MS Gothic" w:hAnsi="Segoe UI Symbol" w:cs="Segoe UI Symbol"/>
                    <w:bCs/>
                    <w:color w:val="4BACC6" w:themeColor="accent5"/>
                  </w:rPr>
                  <w:t>☐</w:t>
                </w:r>
              </w:p>
            </w:tc>
          </w:sdtContent>
        </w:sdt>
      </w:tr>
      <w:tr w:rsidR="00774F97" w:rsidRPr="002058B3" w:rsidTr="00A917B5">
        <w:tc>
          <w:tcPr>
            <w:tcW w:w="2743" w:type="pct"/>
            <w:vAlign w:val="center"/>
          </w:tcPr>
          <w:p w:rsidR="00774F97" w:rsidRPr="00145854" w:rsidRDefault="00774F97" w:rsidP="00774F97">
            <w:pPr>
              <w:spacing w:after="0"/>
              <w:rPr>
                <w:rFonts w:cs="Arial"/>
              </w:rPr>
            </w:pPr>
            <w:r w:rsidRPr="00145854">
              <w:rPr>
                <w:rFonts w:eastAsia="Calibri" w:cs="Arial"/>
              </w:rPr>
              <w:t>Provide any additional comment on results input into the Acoustic Comfort Calculator.</w:t>
            </w:r>
          </w:p>
        </w:tc>
        <w:tc>
          <w:tcPr>
            <w:tcW w:w="2257" w:type="pct"/>
            <w:gridSpan w:val="2"/>
            <w:shd w:val="clear" w:color="auto" w:fill="F2F2F2" w:themeFill="background1" w:themeFillShade="F2"/>
            <w:vAlign w:val="center"/>
          </w:tcPr>
          <w:p w:rsidR="00774F97" w:rsidRPr="00145854" w:rsidRDefault="00774F97" w:rsidP="00774F97">
            <w:pPr>
              <w:spacing w:after="0"/>
              <w:rPr>
                <w:rFonts w:cs="Arial"/>
                <w:bCs/>
              </w:rPr>
            </w:pPr>
          </w:p>
        </w:tc>
      </w:tr>
      <w:tr w:rsidR="00214461" w:rsidRPr="002058B3" w:rsidTr="00A917B5">
        <w:tc>
          <w:tcPr>
            <w:tcW w:w="4276" w:type="pct"/>
            <w:gridSpan w:val="2"/>
            <w:vAlign w:val="center"/>
          </w:tcPr>
          <w:p w:rsidR="00214461" w:rsidRPr="00145854" w:rsidRDefault="009A4A40" w:rsidP="00A917B5">
            <w:pPr>
              <w:spacing w:after="0"/>
              <w:rPr>
                <w:rFonts w:cs="Arial"/>
              </w:rPr>
            </w:pPr>
            <w:r w:rsidRPr="00145854">
              <w:rPr>
                <w:rFonts w:eastAsia="Calibri" w:cs="Arial"/>
              </w:rPr>
              <w:t>13.1</w:t>
            </w:r>
            <w:r w:rsidR="00214461" w:rsidRPr="00145854">
              <w:rPr>
                <w:rFonts w:eastAsia="Calibri" w:cs="Arial"/>
              </w:rPr>
              <w:t xml:space="preserve">A.5.3 </w:t>
            </w:r>
            <w:r w:rsidR="00BF68E7" w:rsidRPr="00145854">
              <w:rPr>
                <w:rFonts w:eastAsia="Calibri" w:cs="Arial"/>
                <w:lang w:val="en-US"/>
              </w:rPr>
              <w:t>A</w:t>
            </w:r>
            <w:r w:rsidR="00214461" w:rsidRPr="00145854">
              <w:rPr>
                <w:rFonts w:eastAsia="Calibri" w:cs="Arial"/>
                <w:lang w:val="en-US"/>
              </w:rPr>
              <w:t>ll applicable areas comply with the noise level performance requirements of</w:t>
            </w:r>
            <w:r w:rsidR="00BF68E7" w:rsidRPr="00145854">
              <w:rPr>
                <w:rFonts w:eastAsia="Calibri" w:cs="Arial"/>
                <w:lang w:val="en-US"/>
              </w:rPr>
              <w:t xml:space="preserve"> </w:t>
            </w:r>
            <w:r w:rsidR="00BF68E7" w:rsidRPr="00145854">
              <w:rPr>
                <w:rFonts w:eastAsia="Calibri" w:cs="Arial"/>
                <w:b/>
                <w:lang w:val="en-US"/>
              </w:rPr>
              <w:t xml:space="preserve">Internal Noise </w:t>
            </w:r>
            <w:r w:rsidR="006471AF" w:rsidRPr="00145854">
              <w:rPr>
                <w:rFonts w:eastAsia="Calibri" w:cs="Arial"/>
                <w:b/>
                <w:lang w:val="en-US"/>
              </w:rPr>
              <w:t>Levels (</w:t>
            </w:r>
            <w:r w:rsidR="00214461" w:rsidRPr="00145854">
              <w:rPr>
                <w:rFonts w:eastAsia="Calibri" w:cs="Arial"/>
                <w:b/>
                <w:lang w:val="en-US"/>
              </w:rPr>
              <w:t>13</w:t>
            </w:r>
            <w:r w:rsidR="00643569" w:rsidRPr="00145854">
              <w:rPr>
                <w:rFonts w:eastAsia="Calibri" w:cs="Arial"/>
                <w:b/>
                <w:lang w:val="en-US"/>
              </w:rPr>
              <w:t>.1</w:t>
            </w:r>
            <w:r w:rsidRPr="00145854">
              <w:rPr>
                <w:rFonts w:eastAsia="Calibri" w:cs="Arial"/>
                <w:b/>
                <w:lang w:val="en-US"/>
              </w:rPr>
              <w:t>A</w:t>
            </w:r>
            <w:r w:rsidR="00643569" w:rsidRPr="00145854">
              <w:rPr>
                <w:rFonts w:eastAsia="Calibri" w:cs="Arial"/>
                <w:b/>
                <w:lang w:val="en-US"/>
              </w:rPr>
              <w:t>.3</w:t>
            </w:r>
            <w:r w:rsidR="00BF68E7" w:rsidRPr="00145854">
              <w:rPr>
                <w:rFonts w:eastAsia="Calibri" w:cs="Arial"/>
                <w:b/>
                <w:lang w:val="en-US"/>
              </w:rPr>
              <w:t>)</w:t>
            </w:r>
            <w:r w:rsidR="006471AF" w:rsidRPr="00145854">
              <w:rPr>
                <w:rFonts w:eastAsia="Calibri" w:cs="Arial"/>
                <w:b/>
                <w:lang w:val="en-US"/>
              </w:rPr>
              <w:t>;</w:t>
            </w:r>
            <w:r w:rsidRPr="00145854">
              <w:rPr>
                <w:rFonts w:eastAsia="Calibri" w:cs="Arial"/>
              </w:rPr>
              <w:t xml:space="preserve"> </w:t>
            </w:r>
            <w:r w:rsidR="00214461" w:rsidRPr="00145854">
              <w:rPr>
                <w:rFonts w:eastAsia="Calibri" w:cs="Arial"/>
                <w:lang w:val="en-US"/>
              </w:rPr>
              <w:t xml:space="preserve">or </w:t>
            </w:r>
            <w:r w:rsidR="006471AF" w:rsidRPr="00145854">
              <w:rPr>
                <w:rFonts w:eastAsia="Calibri" w:cs="Arial"/>
              </w:rPr>
              <w:t>corrective</w:t>
            </w:r>
            <w:r w:rsidRPr="00145854">
              <w:rPr>
                <w:rFonts w:eastAsia="Calibri" w:cs="Arial"/>
              </w:rPr>
              <w:t xml:space="preserve"> actions</w:t>
            </w:r>
            <w:r w:rsidR="00214461" w:rsidRPr="00145854">
              <w:rPr>
                <w:rFonts w:eastAsia="Calibri" w:cs="Arial"/>
                <w:lang w:val="en-US"/>
              </w:rPr>
              <w:t xml:space="preserve"> have been implemented in accordance with </w:t>
            </w:r>
            <w:r w:rsidR="00BF68E7" w:rsidRPr="00145854">
              <w:rPr>
                <w:rFonts w:eastAsia="Calibri" w:cs="Arial"/>
                <w:b/>
                <w:lang w:val="en-US"/>
              </w:rPr>
              <w:t xml:space="preserve">Corrective </w:t>
            </w:r>
            <w:r w:rsidR="006471AF" w:rsidRPr="00145854">
              <w:rPr>
                <w:rFonts w:eastAsia="Calibri" w:cs="Arial"/>
                <w:b/>
                <w:lang w:val="en-US"/>
              </w:rPr>
              <w:t>A</w:t>
            </w:r>
            <w:r w:rsidR="00BF68E7" w:rsidRPr="00145854">
              <w:rPr>
                <w:rFonts w:eastAsia="Calibri" w:cs="Arial"/>
                <w:b/>
                <w:lang w:val="en-US"/>
              </w:rPr>
              <w:t>ction</w:t>
            </w:r>
            <w:r w:rsidR="006471AF" w:rsidRPr="00145854">
              <w:rPr>
                <w:rFonts w:eastAsia="Calibri" w:cs="Arial"/>
                <w:b/>
                <w:lang w:val="en-US"/>
              </w:rPr>
              <w:t>s</w:t>
            </w:r>
            <w:r w:rsidR="00BF68E7" w:rsidRPr="00145854">
              <w:rPr>
                <w:rFonts w:eastAsia="Calibri" w:cs="Arial"/>
                <w:b/>
                <w:lang w:val="en-US"/>
              </w:rPr>
              <w:t xml:space="preserve"> (</w:t>
            </w:r>
            <w:r w:rsidR="00214461" w:rsidRPr="00145854">
              <w:rPr>
                <w:rFonts w:eastAsia="Calibri" w:cs="Arial"/>
                <w:b/>
                <w:lang w:val="en-US"/>
              </w:rPr>
              <w:t>13.1</w:t>
            </w:r>
            <w:r w:rsidRPr="00145854">
              <w:rPr>
                <w:rFonts w:eastAsia="Calibri" w:cs="Arial"/>
                <w:b/>
                <w:lang w:val="en-US"/>
              </w:rPr>
              <w:t>A</w:t>
            </w:r>
            <w:r w:rsidR="00214461" w:rsidRPr="00145854">
              <w:rPr>
                <w:rFonts w:eastAsia="Calibri" w:cs="Arial"/>
                <w:b/>
                <w:lang w:val="en-US"/>
              </w:rPr>
              <w:t>.6</w:t>
            </w:r>
            <w:r w:rsidR="00BF68E7" w:rsidRPr="00145854">
              <w:rPr>
                <w:rFonts w:eastAsia="Calibri" w:cs="Arial"/>
                <w:b/>
                <w:lang w:val="en-US"/>
              </w:rPr>
              <w:t>)</w:t>
            </w:r>
            <w:r w:rsidR="00214461" w:rsidRPr="00145854">
              <w:rPr>
                <w:rFonts w:eastAsia="Calibri" w:cs="Arial"/>
                <w:b/>
                <w:lang w:val="en-US"/>
              </w:rPr>
              <w:t>,</w:t>
            </w:r>
            <w:r w:rsidR="00214461" w:rsidRPr="00145854">
              <w:rPr>
                <w:rFonts w:eastAsia="Calibri" w:cs="Arial"/>
                <w:lang w:val="en-US"/>
              </w:rPr>
              <w:t xml:space="preserve"> for any areas</w:t>
            </w:r>
            <w:r w:rsidR="00643569" w:rsidRPr="00145854">
              <w:rPr>
                <w:rFonts w:eastAsia="Calibri" w:cs="Arial"/>
                <w:lang w:val="en-US"/>
              </w:rPr>
              <w:t xml:space="preserve"> </w:t>
            </w:r>
            <w:r w:rsidR="00214461" w:rsidRPr="00145854">
              <w:rPr>
                <w:rFonts w:eastAsia="Calibri" w:cs="Arial"/>
                <w:lang w:val="en-US"/>
              </w:rPr>
              <w:t>where noise level measurements do not comply with the requirements</w:t>
            </w:r>
            <w:r w:rsidR="00643569" w:rsidRPr="00145854">
              <w:rPr>
                <w:rFonts w:eastAsia="Calibri" w:cs="Arial"/>
                <w:lang w:val="en-US"/>
              </w:rPr>
              <w:t>.</w:t>
            </w:r>
          </w:p>
        </w:tc>
        <w:sdt>
          <w:sdtPr>
            <w:rPr>
              <w:rFonts w:cs="Arial"/>
              <w:bCs/>
              <w:color w:val="4BACC6" w:themeColor="accent5"/>
            </w:rPr>
            <w:id w:val="-1244254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shd w:val="clear" w:color="auto" w:fill="auto"/>
                <w:vAlign w:val="center"/>
              </w:tcPr>
              <w:p w:rsidR="00214461" w:rsidRPr="00145854" w:rsidRDefault="00BF68E7" w:rsidP="00A917B5">
                <w:pPr>
                  <w:spacing w:after="0"/>
                  <w:jc w:val="center"/>
                  <w:rPr>
                    <w:rFonts w:cs="Arial"/>
                    <w:bCs/>
                    <w:i/>
                  </w:rPr>
                </w:pPr>
                <w:r w:rsidRPr="002058B3">
                  <w:rPr>
                    <w:rFonts w:ascii="Segoe UI Symbol" w:eastAsia="MS Gothic" w:hAnsi="Segoe UI Symbol" w:cs="Segoe UI Symbol"/>
                    <w:bCs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D519C2" w:rsidRPr="00145854" w:rsidRDefault="00D519C2" w:rsidP="00A917B5">
      <w:pPr>
        <w:spacing w:after="0"/>
        <w:rPr>
          <w:rFonts w:cs="Arial"/>
        </w:rPr>
      </w:pPr>
    </w:p>
    <w:p w:rsidR="006471AF" w:rsidRPr="00145854" w:rsidRDefault="006471AF">
      <w:pPr>
        <w:spacing w:after="0" w:line="240" w:lineRule="auto"/>
        <w:rPr>
          <w:rFonts w:eastAsiaTheme="majorEastAsia" w:cs="Arial"/>
          <w:b/>
          <w:bCs/>
        </w:rPr>
      </w:pPr>
      <w:r w:rsidRPr="00145854">
        <w:rPr>
          <w:rFonts w:cs="Arial"/>
        </w:rPr>
        <w:br w:type="page"/>
      </w:r>
    </w:p>
    <w:p w:rsidR="00D519C2" w:rsidRPr="00145854" w:rsidRDefault="00D519C2" w:rsidP="00F66581">
      <w:pPr>
        <w:pStyle w:val="Heading40"/>
        <w:rPr>
          <w:rFonts w:cs="Arial"/>
        </w:rPr>
      </w:pPr>
      <w:r w:rsidRPr="00145854">
        <w:rPr>
          <w:rFonts w:cs="Arial"/>
        </w:rPr>
        <w:t>13.1</w:t>
      </w:r>
      <w:r w:rsidR="009A4A40" w:rsidRPr="00145854">
        <w:rPr>
          <w:rFonts w:cs="Arial"/>
        </w:rPr>
        <w:t>A</w:t>
      </w:r>
      <w:r w:rsidRPr="00145854">
        <w:rPr>
          <w:rFonts w:cs="Arial"/>
        </w:rPr>
        <w:t>.</w:t>
      </w:r>
      <w:r w:rsidR="00643569" w:rsidRPr="00145854">
        <w:rPr>
          <w:rFonts w:cs="Arial"/>
        </w:rPr>
        <w:t>6</w:t>
      </w:r>
      <w:r w:rsidRPr="00145854">
        <w:rPr>
          <w:rFonts w:cs="Arial"/>
        </w:rPr>
        <w:t xml:space="preserve"> Corrective </w:t>
      </w:r>
      <w:r w:rsidR="00643569" w:rsidRPr="00145854">
        <w:rPr>
          <w:rFonts w:cs="Arial"/>
        </w:rPr>
        <w:t>a</w:t>
      </w:r>
      <w:r w:rsidRPr="00145854">
        <w:rPr>
          <w:rFonts w:cs="Arial"/>
        </w:rPr>
        <w:t>ctions</w:t>
      </w:r>
    </w:p>
    <w:p w:rsidR="00BF68E7" w:rsidRPr="00145854" w:rsidRDefault="00BF68E7" w:rsidP="00A917B5">
      <w:pPr>
        <w:rPr>
          <w:rFonts w:cs="Arial"/>
        </w:rPr>
      </w:pPr>
      <w:r w:rsidRPr="00145854">
        <w:rPr>
          <w:rFonts w:cs="Arial"/>
        </w:rPr>
        <w:t xml:space="preserve">Where corrective actions are required for areas where noise level measurements do not comply with the requirements, please complete the following.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952"/>
        <w:gridCol w:w="4075"/>
      </w:tblGrid>
      <w:tr w:rsidR="00D519C2" w:rsidRPr="002058B3" w:rsidTr="00A917B5">
        <w:trPr>
          <w:cantSplit/>
          <w:tblHeader/>
        </w:trPr>
        <w:tc>
          <w:tcPr>
            <w:tcW w:w="2743" w:type="pct"/>
            <w:vAlign w:val="center"/>
          </w:tcPr>
          <w:p w:rsidR="00D519C2" w:rsidRPr="00145854" w:rsidRDefault="00D519C2" w:rsidP="00A917B5">
            <w:pPr>
              <w:spacing w:after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Requirement</w:t>
            </w:r>
          </w:p>
        </w:tc>
        <w:tc>
          <w:tcPr>
            <w:tcW w:w="2257" w:type="pct"/>
            <w:vAlign w:val="center"/>
          </w:tcPr>
          <w:p w:rsidR="00D519C2" w:rsidRPr="002058B3" w:rsidRDefault="00D519C2" w:rsidP="00A917B5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2058B3">
              <w:rPr>
                <w:rStyle w:val="Strong"/>
                <w:rFonts w:cs="Arial"/>
              </w:rPr>
              <w:t>Supporting Evidence</w:t>
            </w:r>
          </w:p>
        </w:tc>
      </w:tr>
      <w:tr w:rsidR="00D519C2" w:rsidRPr="002058B3" w:rsidTr="00A917B5">
        <w:trPr>
          <w:cantSplit/>
        </w:trPr>
        <w:tc>
          <w:tcPr>
            <w:tcW w:w="2743" w:type="pct"/>
            <w:vAlign w:val="center"/>
          </w:tcPr>
          <w:p w:rsidR="00D519C2" w:rsidRPr="00145854" w:rsidRDefault="00643569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D</w:t>
            </w:r>
            <w:r w:rsidR="00D519C2" w:rsidRPr="00145854">
              <w:rPr>
                <w:rFonts w:cs="Arial"/>
              </w:rPr>
              <w:t>escribe the corrective actions that have been implemented for any areas where noise level measurements do not comply with the requirements of 1</w:t>
            </w:r>
            <w:r w:rsidR="00043E1D" w:rsidRPr="00145854">
              <w:rPr>
                <w:rFonts w:cs="Arial"/>
              </w:rPr>
              <w:t>3</w:t>
            </w:r>
            <w:r w:rsidR="00D519C2" w:rsidRPr="00145854">
              <w:rPr>
                <w:rFonts w:cs="Arial"/>
              </w:rPr>
              <w:t>.1</w:t>
            </w:r>
            <w:r w:rsidR="009A4A40" w:rsidRPr="00145854">
              <w:rPr>
                <w:rFonts w:cs="Arial"/>
              </w:rPr>
              <w:t>A</w:t>
            </w:r>
            <w:r w:rsidR="00D519C2" w:rsidRPr="00145854">
              <w:rPr>
                <w:rFonts w:cs="Arial"/>
              </w:rPr>
              <w:t>.3.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D519C2" w:rsidRPr="00145854" w:rsidRDefault="00D519C2" w:rsidP="00A917B5">
            <w:pPr>
              <w:spacing w:after="0"/>
              <w:rPr>
                <w:rFonts w:cs="Arial"/>
                <w:i/>
                <w:color w:val="A6A6A6" w:themeColor="background1" w:themeShade="A6"/>
              </w:rPr>
            </w:pPr>
            <w:r w:rsidRPr="00145854">
              <w:rPr>
                <w:rFonts w:cs="Arial"/>
                <w:i/>
                <w:color w:val="A6A6A6" w:themeColor="background1" w:themeShade="A6"/>
              </w:rPr>
              <w:t>E.g. corrective actions have been carried out in line with the acoustic consultants report. Refer to:</w:t>
            </w:r>
          </w:p>
          <w:p w:rsidR="00D519C2" w:rsidRPr="00145854" w:rsidRDefault="00D519C2" w:rsidP="00A917B5">
            <w:pPr>
              <w:pStyle w:val="ListParagraph"/>
              <w:numPr>
                <w:ilvl w:val="0"/>
                <w:numId w:val="38"/>
              </w:numPr>
              <w:spacing w:after="0"/>
              <w:rPr>
                <w:rFonts w:cs="Arial"/>
                <w:i/>
                <w:color w:val="A6A6A6" w:themeColor="background1" w:themeShade="A6"/>
                <w:szCs w:val="22"/>
              </w:rPr>
            </w:pPr>
            <w:r w:rsidRPr="00145854">
              <w:rPr>
                <w:rFonts w:cs="Arial"/>
                <w:i/>
                <w:color w:val="A6A6A6" w:themeColor="background1" w:themeShade="A6"/>
                <w:szCs w:val="22"/>
              </w:rPr>
              <w:t>Acoustic report; and</w:t>
            </w:r>
          </w:p>
          <w:p w:rsidR="00D519C2" w:rsidRPr="002058B3" w:rsidRDefault="00D519C2" w:rsidP="00A917B5">
            <w:pPr>
              <w:pStyle w:val="ListParagraph"/>
              <w:numPr>
                <w:ilvl w:val="0"/>
                <w:numId w:val="38"/>
              </w:numPr>
              <w:spacing w:after="0"/>
              <w:rPr>
                <w:rStyle w:val="Strong"/>
                <w:rFonts w:eastAsiaTheme="minorHAnsi" w:cs="Arial"/>
                <w:szCs w:val="22"/>
              </w:rPr>
            </w:pPr>
            <w:r w:rsidRPr="00145854">
              <w:rPr>
                <w:rFonts w:cs="Arial"/>
                <w:bCs/>
                <w:i/>
                <w:color w:val="A6A6A6" w:themeColor="background1" w:themeShade="A6"/>
                <w:szCs w:val="22"/>
              </w:rPr>
              <w:t>Extract(s) from the contract.</w:t>
            </w:r>
          </w:p>
        </w:tc>
      </w:tr>
      <w:tr w:rsidR="00BF68E7" w:rsidRPr="002058B3" w:rsidTr="00A917B5">
        <w:trPr>
          <w:cantSplit/>
        </w:trPr>
        <w:tc>
          <w:tcPr>
            <w:tcW w:w="2743" w:type="pct"/>
            <w:vAlign w:val="center"/>
          </w:tcPr>
          <w:p w:rsidR="00BF68E7" w:rsidRPr="00145854" w:rsidRDefault="00A83883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Confirm</w:t>
            </w:r>
            <w:r w:rsidR="00BF68E7" w:rsidRPr="00145854">
              <w:rPr>
                <w:rFonts w:cs="Arial"/>
              </w:rPr>
              <w:t xml:space="preserve"> that the corrective actions have been implemented within the performance period.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BF68E7" w:rsidRPr="00145854" w:rsidRDefault="00BF68E7" w:rsidP="00A917B5">
            <w:pPr>
              <w:spacing w:after="0"/>
              <w:rPr>
                <w:rFonts w:cs="Arial"/>
                <w:i/>
                <w:color w:val="A6A6A6" w:themeColor="background1" w:themeShade="A6"/>
              </w:rPr>
            </w:pPr>
          </w:p>
        </w:tc>
      </w:tr>
      <w:tr w:rsidR="00BF68E7" w:rsidRPr="002058B3" w:rsidTr="00A917B5">
        <w:trPr>
          <w:cantSplit/>
        </w:trPr>
        <w:tc>
          <w:tcPr>
            <w:tcW w:w="2743" w:type="pct"/>
            <w:vAlign w:val="center"/>
          </w:tcPr>
          <w:p w:rsidR="00BF68E7" w:rsidRPr="00145854" w:rsidRDefault="00A83883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Describe how</w:t>
            </w:r>
            <w:r w:rsidR="00BF68E7" w:rsidRPr="00145854">
              <w:rPr>
                <w:rFonts w:cs="Arial"/>
              </w:rPr>
              <w:t xml:space="preserve"> the corrective actions have enabled these areas to comply with the required noise levels within the </w:t>
            </w:r>
            <w:r w:rsidR="00BF68E7" w:rsidRPr="00145854">
              <w:rPr>
                <w:rFonts w:cs="Arial"/>
                <w:i/>
              </w:rPr>
              <w:t>performance period</w:t>
            </w:r>
            <w:r w:rsidR="00BF68E7" w:rsidRPr="00145854">
              <w:rPr>
                <w:rFonts w:cs="Arial"/>
              </w:rPr>
              <w:t>.</w:t>
            </w:r>
          </w:p>
        </w:tc>
        <w:tc>
          <w:tcPr>
            <w:tcW w:w="2257" w:type="pct"/>
            <w:shd w:val="clear" w:color="auto" w:fill="F2F2F2" w:themeFill="background1" w:themeFillShade="F2"/>
          </w:tcPr>
          <w:p w:rsidR="00BF68E7" w:rsidRPr="00145854" w:rsidRDefault="00BF68E7" w:rsidP="00A917B5">
            <w:pPr>
              <w:spacing w:after="0"/>
              <w:rPr>
                <w:rFonts w:cs="Arial"/>
                <w:i/>
                <w:color w:val="A6A6A6" w:themeColor="background1" w:themeShade="A6"/>
              </w:rPr>
            </w:pPr>
          </w:p>
        </w:tc>
      </w:tr>
    </w:tbl>
    <w:p w:rsidR="00D519C2" w:rsidRPr="00145854" w:rsidRDefault="00D519C2" w:rsidP="00F66581">
      <w:pPr>
        <w:rPr>
          <w:rFonts w:cs="Arial"/>
        </w:rPr>
      </w:pPr>
    </w:p>
    <w:p w:rsidR="006471AF" w:rsidRPr="00145854" w:rsidRDefault="006471AF" w:rsidP="006471AF">
      <w:pPr>
        <w:spacing w:before="240"/>
        <w:rPr>
          <w:rFonts w:cs="Arial"/>
        </w:rPr>
      </w:pPr>
      <w:r w:rsidRPr="00145854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6471AF" w:rsidRPr="002058B3" w:rsidTr="00BB00B1">
        <w:tc>
          <w:tcPr>
            <w:tcW w:w="3739" w:type="pct"/>
            <w:shd w:val="clear" w:color="auto" w:fill="B6DDE8" w:themeFill="accent5" w:themeFillTint="66"/>
            <w:vAlign w:val="center"/>
          </w:tcPr>
          <w:p w:rsidR="006471AF" w:rsidRPr="00145854" w:rsidRDefault="006471AF" w:rsidP="00BB00B1">
            <w:pPr>
              <w:spacing w:after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Supporting Documentation</w:t>
            </w:r>
          </w:p>
          <w:p w:rsidR="006471AF" w:rsidRPr="00145854" w:rsidRDefault="006471AF" w:rsidP="00BB00B1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6471AF" w:rsidRPr="00145854" w:rsidRDefault="006471AF" w:rsidP="00BB00B1">
            <w:pPr>
              <w:spacing w:after="0"/>
              <w:jc w:val="center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Reference</w:t>
            </w:r>
          </w:p>
          <w:p w:rsidR="006471AF" w:rsidRPr="00145854" w:rsidRDefault="006471AF" w:rsidP="00BB00B1">
            <w:pPr>
              <w:spacing w:after="0"/>
              <w:jc w:val="center"/>
              <w:rPr>
                <w:rFonts w:cs="Arial"/>
              </w:rPr>
            </w:pPr>
            <w:r w:rsidRPr="00145854">
              <w:rPr>
                <w:rFonts w:cs="Arial"/>
              </w:rPr>
              <w:t>(Page no. or section)</w:t>
            </w:r>
          </w:p>
        </w:tc>
      </w:tr>
      <w:tr w:rsidR="006471AF" w:rsidRPr="002058B3" w:rsidTr="00BB00B1">
        <w:tc>
          <w:tcPr>
            <w:tcW w:w="3739" w:type="pct"/>
            <w:vAlign w:val="center"/>
          </w:tcPr>
          <w:p w:rsidR="006471AF" w:rsidRPr="00145854" w:rsidRDefault="006471AF">
            <w:pPr>
              <w:spacing w:after="0"/>
              <w:rPr>
                <w:rFonts w:cs="Arial"/>
                <w:i/>
              </w:rPr>
            </w:pPr>
            <w:r w:rsidRPr="00145854">
              <w:rPr>
                <w:rFonts w:cs="Arial"/>
                <w:i/>
                <w:color w:val="4BACC6" w:themeColor="accent5"/>
              </w:rPr>
              <w:t>Green Star – Performance Acoustic Comfort Calculator</w:t>
            </w:r>
          </w:p>
        </w:tc>
        <w:tc>
          <w:tcPr>
            <w:tcW w:w="1261" w:type="pct"/>
            <w:vAlign w:val="center"/>
          </w:tcPr>
          <w:p w:rsidR="006471AF" w:rsidRPr="00145854" w:rsidRDefault="006471AF" w:rsidP="00145854">
            <w:pPr>
              <w:spacing w:after="0"/>
              <w:jc w:val="center"/>
              <w:rPr>
                <w:rFonts w:cs="Arial"/>
              </w:rPr>
            </w:pPr>
            <w:r w:rsidRPr="00145854">
              <w:rPr>
                <w:rFonts w:cs="Arial"/>
                <w:color w:val="4BACC6" w:themeColor="accent5"/>
              </w:rPr>
              <w:t>[####]</w:t>
            </w:r>
          </w:p>
        </w:tc>
      </w:tr>
      <w:tr w:rsidR="006471AF" w:rsidRPr="002058B3" w:rsidTr="00BB00B1">
        <w:tc>
          <w:tcPr>
            <w:tcW w:w="3739" w:type="pct"/>
            <w:vAlign w:val="center"/>
          </w:tcPr>
          <w:p w:rsidR="006471AF" w:rsidRPr="00145854" w:rsidRDefault="00A83883" w:rsidP="00BB00B1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  <w:i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6471AF" w:rsidRPr="00145854" w:rsidRDefault="006471AF" w:rsidP="00145854">
            <w:pPr>
              <w:spacing w:after="0"/>
              <w:jc w:val="center"/>
              <w:rPr>
                <w:rFonts w:cs="Arial"/>
              </w:rPr>
            </w:pPr>
            <w:r w:rsidRPr="00145854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6471AF" w:rsidRPr="00145854" w:rsidRDefault="006471AF" w:rsidP="006471AF">
      <w:pPr>
        <w:rPr>
          <w:rFonts w:cs="Arial"/>
        </w:rPr>
      </w:pPr>
    </w:p>
    <w:p w:rsidR="006471AF" w:rsidRPr="00145854" w:rsidRDefault="006471AF" w:rsidP="006471AF">
      <w:pPr>
        <w:pStyle w:val="Heading3"/>
        <w:rPr>
          <w:rFonts w:cs="Arial"/>
        </w:rPr>
      </w:pPr>
      <w:r w:rsidRPr="00145854">
        <w:rPr>
          <w:rFonts w:cs="Arial"/>
        </w:rPr>
        <w:t>DISCUSSION</w:t>
      </w:r>
    </w:p>
    <w:p w:rsidR="006471AF" w:rsidRPr="00145854" w:rsidRDefault="006471AF" w:rsidP="006471AF">
      <w:pPr>
        <w:rPr>
          <w:rFonts w:cs="Arial"/>
        </w:rPr>
      </w:pPr>
      <w:r w:rsidRPr="00145854">
        <w:rPr>
          <w:rFonts w:cs="Arial"/>
        </w:rPr>
        <w:t xml:space="preserve">Outline any issues you would like to highlight and clarify with the </w:t>
      </w:r>
      <w:r w:rsidR="005F79E0">
        <w:rPr>
          <w:rFonts w:cs="Arial"/>
        </w:rPr>
        <w:t>Certified Assessor(s)</w:t>
      </w:r>
      <w:r w:rsidRPr="00145854">
        <w:rPr>
          <w:rFonts w:cs="Arial"/>
        </w:rPr>
        <w:t>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6471AF" w:rsidRPr="002058B3" w:rsidTr="00BB00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6471AF" w:rsidRPr="00145854" w:rsidRDefault="006471AF" w:rsidP="00BB00B1">
            <w:pPr>
              <w:rPr>
                <w:rFonts w:cs="Arial"/>
              </w:rPr>
            </w:pPr>
          </w:p>
          <w:p w:rsidR="006471AF" w:rsidRPr="00145854" w:rsidRDefault="006471AF" w:rsidP="00BB00B1">
            <w:pPr>
              <w:rPr>
                <w:rFonts w:cs="Arial"/>
              </w:rPr>
            </w:pPr>
          </w:p>
          <w:p w:rsidR="006471AF" w:rsidRPr="00145854" w:rsidRDefault="006471AF" w:rsidP="00BB00B1">
            <w:pPr>
              <w:rPr>
                <w:rFonts w:cs="Arial"/>
              </w:rPr>
            </w:pPr>
          </w:p>
        </w:tc>
      </w:tr>
    </w:tbl>
    <w:p w:rsidR="006471AF" w:rsidRPr="00145854" w:rsidRDefault="006471AF" w:rsidP="006471AF">
      <w:pPr>
        <w:rPr>
          <w:rFonts w:cs="Arial"/>
        </w:rPr>
      </w:pPr>
    </w:p>
    <w:p w:rsidR="006471AF" w:rsidRPr="00145854" w:rsidRDefault="006471AF" w:rsidP="00F66581">
      <w:pPr>
        <w:rPr>
          <w:rFonts w:cs="Arial"/>
        </w:rPr>
      </w:pPr>
    </w:p>
    <w:p w:rsidR="006471AF" w:rsidRPr="00145854" w:rsidRDefault="006471AF" w:rsidP="00F66581">
      <w:pPr>
        <w:rPr>
          <w:rFonts w:cs="Arial"/>
        </w:rPr>
      </w:pPr>
    </w:p>
    <w:p w:rsidR="006471AF" w:rsidRPr="00145854" w:rsidRDefault="006471AF">
      <w:pPr>
        <w:spacing w:after="0" w:line="240" w:lineRule="auto"/>
        <w:rPr>
          <w:rFonts w:eastAsia="Arial" w:cs="Arial"/>
          <w:bCs/>
          <w:caps/>
          <w:color w:val="56B3D0"/>
          <w:sz w:val="28"/>
          <w:szCs w:val="28"/>
        </w:rPr>
      </w:pPr>
      <w:r w:rsidRPr="00145854">
        <w:rPr>
          <w:rFonts w:cs="Arial"/>
        </w:rPr>
        <w:br w:type="page"/>
      </w:r>
    </w:p>
    <w:p w:rsidR="002D50A1" w:rsidRPr="00145854" w:rsidRDefault="002D50A1" w:rsidP="00A917B5">
      <w:pPr>
        <w:pStyle w:val="Heading2"/>
      </w:pPr>
      <w:r w:rsidRPr="00145854">
        <w:t>13.1B Noise measurement in NABERS Indoor Environment</w:t>
      </w:r>
    </w:p>
    <w:p w:rsidR="00643569" w:rsidRPr="00145854" w:rsidRDefault="00643569" w:rsidP="002D50A1">
      <w:pPr>
        <w:rPr>
          <w:rFonts w:cs="Arial"/>
        </w:rPr>
      </w:pPr>
      <w:r w:rsidRPr="00145854">
        <w:rPr>
          <w:rFonts w:cs="Arial"/>
        </w:rPr>
        <w:t>Describe how noise levels have been validated to be at appropriate levels, as demonstrated through a certified NABERS Indoor Environment rating, to meet the compliance requirements for each of the items below, by referencing a valid NABERS IE report.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581"/>
        <w:gridCol w:w="1446"/>
      </w:tblGrid>
      <w:tr w:rsidR="002D50A1" w:rsidRPr="002058B3" w:rsidTr="00A917B5">
        <w:tc>
          <w:tcPr>
            <w:tcW w:w="4199" w:type="pct"/>
            <w:shd w:val="clear" w:color="auto" w:fill="auto"/>
            <w:vAlign w:val="center"/>
          </w:tcPr>
          <w:p w:rsidR="002D50A1" w:rsidRPr="00145854" w:rsidRDefault="00BF68E7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The</w:t>
            </w:r>
            <w:r w:rsidR="002D50A1" w:rsidRPr="00145854">
              <w:rPr>
                <w:rFonts w:cs="Arial"/>
              </w:rPr>
              <w:t xml:space="preserve"> NABERS IE rating was completed after January 2015. </w:t>
            </w:r>
          </w:p>
        </w:tc>
        <w:sdt>
          <w:sdtPr>
            <w:rPr>
              <w:rStyle w:val="Strong"/>
              <w:rFonts w:cs="Arial"/>
              <w:b w:val="0"/>
              <w:color w:val="4BACC6" w:themeColor="accent5"/>
            </w:rPr>
            <w:id w:val="19485753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01" w:type="pct"/>
                <w:shd w:val="clear" w:color="auto" w:fill="auto"/>
                <w:vAlign w:val="center"/>
              </w:tcPr>
              <w:p w:rsidR="002D50A1" w:rsidRPr="002058B3" w:rsidRDefault="006471AF" w:rsidP="00A917B5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  <w:color w:val="4BACC6" w:themeColor="accent5"/>
                  </w:rPr>
                </w:pPr>
                <w:r w:rsidRPr="002058B3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p>
            </w:tc>
          </w:sdtContent>
        </w:sdt>
      </w:tr>
      <w:tr w:rsidR="002D50A1" w:rsidRPr="002058B3" w:rsidTr="00A917B5">
        <w:tc>
          <w:tcPr>
            <w:tcW w:w="4199" w:type="pct"/>
            <w:shd w:val="clear" w:color="auto" w:fill="auto"/>
            <w:vAlign w:val="center"/>
          </w:tcPr>
          <w:p w:rsidR="002D50A1" w:rsidRPr="00145854" w:rsidRDefault="00BF68E7" w:rsidP="00A917B5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>T</w:t>
            </w:r>
            <w:r w:rsidR="002D50A1" w:rsidRPr="00145854">
              <w:rPr>
                <w:rFonts w:cs="Arial"/>
              </w:rPr>
              <w:t xml:space="preserve">he NABERS IE rating was completed during or was valid for at least the last three months of the </w:t>
            </w:r>
            <w:r w:rsidR="002D50A1" w:rsidRPr="00145854">
              <w:rPr>
                <w:rFonts w:cs="Arial"/>
                <w:i/>
              </w:rPr>
              <w:t>performance period</w:t>
            </w:r>
            <w:r w:rsidR="002D50A1" w:rsidRPr="00145854">
              <w:rPr>
                <w:rFonts w:cs="Arial"/>
              </w:rPr>
              <w:t xml:space="preserve">. </w:t>
            </w:r>
          </w:p>
        </w:tc>
        <w:sdt>
          <w:sdtPr>
            <w:rPr>
              <w:rStyle w:val="Strong"/>
              <w:rFonts w:cs="Arial"/>
              <w:b w:val="0"/>
              <w:color w:val="4BACC6" w:themeColor="accent5"/>
            </w:rPr>
            <w:id w:val="-1718579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01" w:type="pct"/>
                <w:shd w:val="clear" w:color="auto" w:fill="auto"/>
                <w:vAlign w:val="center"/>
              </w:tcPr>
              <w:p w:rsidR="002D50A1" w:rsidRPr="002058B3" w:rsidRDefault="00BF68E7" w:rsidP="00A917B5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  <w:color w:val="4BACC6" w:themeColor="accent5"/>
                  </w:rPr>
                </w:pPr>
                <w:r w:rsidRPr="002058B3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p>
            </w:tc>
          </w:sdtContent>
        </w:sdt>
      </w:tr>
      <w:tr w:rsidR="002D50A1" w:rsidRPr="002058B3" w:rsidTr="00A917B5">
        <w:tc>
          <w:tcPr>
            <w:tcW w:w="4199" w:type="pct"/>
            <w:shd w:val="clear" w:color="auto" w:fill="auto"/>
            <w:vAlign w:val="center"/>
          </w:tcPr>
          <w:p w:rsidR="00D01D44" w:rsidRPr="00145854" w:rsidRDefault="00D01D44">
            <w:pPr>
              <w:rPr>
                <w:rFonts w:cs="Arial"/>
              </w:rPr>
            </w:pPr>
            <w:r w:rsidRPr="00145854">
              <w:rPr>
                <w:rFonts w:cs="Arial"/>
              </w:rPr>
              <w:t>The Ambient Sound section of the NABERS Indoor Environment Report confirms that the average ambient sound level of the base building is compliant with recommended sounds specified in AS/NZS 2107.</w:t>
            </w:r>
          </w:p>
        </w:tc>
        <w:sdt>
          <w:sdtPr>
            <w:rPr>
              <w:rStyle w:val="Strong"/>
              <w:rFonts w:cs="Arial"/>
              <w:b w:val="0"/>
              <w:color w:val="4BACC6" w:themeColor="accent5"/>
            </w:rPr>
            <w:id w:val="-1877838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>
            <w:rPr>
              <w:rStyle w:val="Strong"/>
            </w:rPr>
          </w:sdtEndPr>
          <w:sdtContent>
            <w:tc>
              <w:tcPr>
                <w:tcW w:w="801" w:type="pct"/>
                <w:shd w:val="clear" w:color="auto" w:fill="auto"/>
                <w:vAlign w:val="center"/>
              </w:tcPr>
              <w:p w:rsidR="002D50A1" w:rsidRPr="002058B3" w:rsidRDefault="00D01D44" w:rsidP="00A917B5">
                <w:pPr>
                  <w:spacing w:after="0"/>
                  <w:jc w:val="center"/>
                  <w:rPr>
                    <w:rStyle w:val="Strong"/>
                    <w:rFonts w:cs="Arial"/>
                    <w:b w:val="0"/>
                    <w:color w:val="4BACC6" w:themeColor="accent5"/>
                  </w:rPr>
                </w:pPr>
                <w:r w:rsidRPr="002058B3">
                  <w:rPr>
                    <w:rStyle w:val="Strong"/>
                    <w:rFonts w:ascii="Segoe UI Symbol" w:eastAsia="MS Gothic" w:hAnsi="Segoe UI Symbol" w:cs="Segoe UI Symbol"/>
                    <w:b w:val="0"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2D50A1" w:rsidRPr="00145854" w:rsidRDefault="002D50A1">
      <w:pPr>
        <w:rPr>
          <w:rFonts w:cs="Arial"/>
        </w:rPr>
      </w:pPr>
    </w:p>
    <w:p w:rsidR="00BF68E7" w:rsidRPr="00145854" w:rsidRDefault="00BF68E7" w:rsidP="00BF68E7">
      <w:pPr>
        <w:spacing w:before="240"/>
        <w:rPr>
          <w:rFonts w:cs="Arial"/>
        </w:rPr>
      </w:pPr>
      <w:r w:rsidRPr="00145854">
        <w:rPr>
          <w:rFonts w:cs="Arial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BF68E7" w:rsidRPr="002058B3" w:rsidTr="00F6136F">
        <w:tc>
          <w:tcPr>
            <w:tcW w:w="3739" w:type="pct"/>
            <w:shd w:val="clear" w:color="auto" w:fill="B6DDE8" w:themeFill="accent5" w:themeFillTint="66"/>
            <w:vAlign w:val="center"/>
          </w:tcPr>
          <w:p w:rsidR="00BF68E7" w:rsidRPr="00145854" w:rsidRDefault="00BF68E7" w:rsidP="00F6136F">
            <w:pPr>
              <w:spacing w:after="0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Supporting Documentation</w:t>
            </w:r>
          </w:p>
          <w:p w:rsidR="00BF68E7" w:rsidRPr="00145854" w:rsidRDefault="00BF68E7" w:rsidP="00F6136F">
            <w:pPr>
              <w:spacing w:after="0"/>
              <w:rPr>
                <w:rFonts w:cs="Arial"/>
              </w:rPr>
            </w:pPr>
            <w:r w:rsidRPr="00145854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BF68E7" w:rsidRPr="00145854" w:rsidRDefault="00BF68E7" w:rsidP="00F6136F">
            <w:pPr>
              <w:spacing w:after="0"/>
              <w:jc w:val="center"/>
              <w:rPr>
                <w:rFonts w:cs="Arial"/>
                <w:b/>
              </w:rPr>
            </w:pPr>
            <w:r w:rsidRPr="00145854">
              <w:rPr>
                <w:rFonts w:cs="Arial"/>
                <w:b/>
              </w:rPr>
              <w:t>Reference</w:t>
            </w:r>
          </w:p>
          <w:p w:rsidR="00BF68E7" w:rsidRPr="00145854" w:rsidRDefault="00BF68E7" w:rsidP="00F6136F">
            <w:pPr>
              <w:spacing w:after="0"/>
              <w:jc w:val="center"/>
              <w:rPr>
                <w:rFonts w:cs="Arial"/>
              </w:rPr>
            </w:pPr>
            <w:r w:rsidRPr="00145854">
              <w:rPr>
                <w:rFonts w:cs="Arial"/>
              </w:rPr>
              <w:t>(Page no. or section)</w:t>
            </w:r>
          </w:p>
        </w:tc>
      </w:tr>
      <w:tr w:rsidR="00BF68E7" w:rsidRPr="002058B3" w:rsidTr="00F6136F">
        <w:tc>
          <w:tcPr>
            <w:tcW w:w="3739" w:type="pct"/>
            <w:vAlign w:val="center"/>
          </w:tcPr>
          <w:p w:rsidR="00BF68E7" w:rsidRPr="00145854" w:rsidRDefault="006471AF" w:rsidP="00F6136F">
            <w:pPr>
              <w:spacing w:after="0"/>
              <w:rPr>
                <w:rFonts w:cs="Arial"/>
                <w:i/>
              </w:rPr>
            </w:pPr>
            <w:r w:rsidRPr="00145854">
              <w:rPr>
                <w:rFonts w:cs="Arial"/>
                <w:i/>
                <w:color w:val="4BACC6" w:themeColor="accent5"/>
              </w:rPr>
              <w:t>NABERS IE report</w:t>
            </w:r>
          </w:p>
        </w:tc>
        <w:tc>
          <w:tcPr>
            <w:tcW w:w="1261" w:type="pct"/>
            <w:vAlign w:val="center"/>
          </w:tcPr>
          <w:p w:rsidR="00BF68E7" w:rsidRPr="00145854" w:rsidRDefault="00BF68E7" w:rsidP="00145854">
            <w:pPr>
              <w:spacing w:after="0"/>
              <w:jc w:val="center"/>
              <w:rPr>
                <w:rFonts w:cs="Arial"/>
              </w:rPr>
            </w:pPr>
            <w:r w:rsidRPr="00145854">
              <w:rPr>
                <w:rFonts w:cs="Arial"/>
                <w:color w:val="4BACC6" w:themeColor="accent5"/>
              </w:rPr>
              <w:t>[####]</w:t>
            </w:r>
          </w:p>
        </w:tc>
      </w:tr>
      <w:tr w:rsidR="00BF68E7" w:rsidRPr="002058B3" w:rsidTr="00F6136F">
        <w:tc>
          <w:tcPr>
            <w:tcW w:w="3739" w:type="pct"/>
            <w:vAlign w:val="center"/>
          </w:tcPr>
          <w:p w:rsidR="00BF68E7" w:rsidRPr="00145854" w:rsidRDefault="00BF68E7" w:rsidP="00F6136F">
            <w:pPr>
              <w:spacing w:after="0"/>
              <w:rPr>
                <w:rFonts w:cs="Arial"/>
              </w:rPr>
            </w:pPr>
          </w:p>
        </w:tc>
        <w:tc>
          <w:tcPr>
            <w:tcW w:w="1261" w:type="pct"/>
            <w:vAlign w:val="center"/>
          </w:tcPr>
          <w:p w:rsidR="00BF68E7" w:rsidRPr="00145854" w:rsidRDefault="00BF68E7" w:rsidP="00145854">
            <w:pPr>
              <w:spacing w:after="0"/>
              <w:jc w:val="center"/>
              <w:rPr>
                <w:rFonts w:cs="Arial"/>
              </w:rPr>
            </w:pPr>
            <w:r w:rsidRPr="00145854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BF68E7" w:rsidRPr="00145854" w:rsidRDefault="00BF68E7" w:rsidP="002D50A1">
      <w:pPr>
        <w:rPr>
          <w:rFonts w:cs="Arial"/>
        </w:rPr>
      </w:pPr>
    </w:p>
    <w:p w:rsidR="00354A98" w:rsidRPr="00145854" w:rsidRDefault="00354A98" w:rsidP="00354A98">
      <w:pPr>
        <w:pStyle w:val="Heading3"/>
        <w:rPr>
          <w:rFonts w:cs="Arial"/>
        </w:rPr>
      </w:pPr>
      <w:r w:rsidRPr="00145854">
        <w:rPr>
          <w:rFonts w:cs="Arial"/>
        </w:rPr>
        <w:t>DISCUSSION</w:t>
      </w:r>
    </w:p>
    <w:p w:rsidR="00354A98" w:rsidRPr="00145854" w:rsidRDefault="00354A98" w:rsidP="00354A98">
      <w:pPr>
        <w:rPr>
          <w:rFonts w:cs="Arial"/>
        </w:rPr>
      </w:pPr>
      <w:r w:rsidRPr="00145854">
        <w:rPr>
          <w:rFonts w:cs="Arial"/>
        </w:rPr>
        <w:t xml:space="preserve">Outline any issues you would like to highlight and clarify with the </w:t>
      </w:r>
      <w:r w:rsidR="00242DE4">
        <w:rPr>
          <w:rFonts w:cs="Arial"/>
        </w:rPr>
        <w:t>Certified Assessor(s)</w:t>
      </w:r>
      <w:r w:rsidRPr="00145854">
        <w:rPr>
          <w:rFonts w:cs="Arial"/>
        </w:rPr>
        <w:t>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2058B3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D2360D" w:rsidRPr="00145854" w:rsidRDefault="00D2360D">
            <w:pPr>
              <w:rPr>
                <w:rFonts w:cs="Arial"/>
              </w:rPr>
            </w:pPr>
          </w:p>
          <w:p w:rsidR="006471AF" w:rsidRPr="00145854" w:rsidRDefault="006471AF">
            <w:pPr>
              <w:rPr>
                <w:rFonts w:cs="Arial"/>
              </w:rPr>
            </w:pPr>
          </w:p>
        </w:tc>
      </w:tr>
    </w:tbl>
    <w:p w:rsidR="00B95C4C" w:rsidRPr="00145854" w:rsidRDefault="00B95C4C" w:rsidP="00B95C4C">
      <w:pPr>
        <w:rPr>
          <w:rFonts w:cs="Arial"/>
        </w:rPr>
      </w:pPr>
    </w:p>
    <w:p w:rsidR="000F12D3" w:rsidRPr="00145854" w:rsidRDefault="000F12D3" w:rsidP="00F66581">
      <w:pPr>
        <w:pStyle w:val="Heading1"/>
        <w:rPr>
          <w:rFonts w:cs="Arial"/>
        </w:rPr>
      </w:pPr>
      <w:r w:rsidRPr="00145854">
        <w:rPr>
          <w:rFonts w:cs="Arial"/>
        </w:rPr>
        <w:t>DECLARATION</w:t>
      </w:r>
    </w:p>
    <w:p w:rsidR="000F12D3" w:rsidRPr="00145854" w:rsidRDefault="000F12D3" w:rsidP="00354A98">
      <w:pPr>
        <w:rPr>
          <w:rFonts w:eastAsiaTheme="majorEastAsia" w:cs="Arial"/>
        </w:rPr>
      </w:pPr>
      <w:r w:rsidRPr="00145854">
        <w:rPr>
          <w:rFonts w:eastAsiaTheme="majorEastAsia" w:cs="Arial"/>
        </w:rPr>
        <w:t>I confirm that the information provided in this document is truthful and accurate at the time of completion.</w:t>
      </w:r>
    </w:p>
    <w:p w:rsidR="000F12D3" w:rsidRPr="00145854" w:rsidRDefault="000F12D3" w:rsidP="00354A98">
      <w:pPr>
        <w:rPr>
          <w:rFonts w:cs="Arial"/>
        </w:rPr>
      </w:pPr>
      <w:r w:rsidRPr="00145854">
        <w:rPr>
          <w:rFonts w:cs="Arial"/>
        </w:rPr>
        <w:t xml:space="preserve">Provide author details, including name, position and email address: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Look w:val="04A0" w:firstRow="1" w:lastRow="0" w:firstColumn="1" w:lastColumn="0" w:noHBand="0" w:noVBand="1"/>
      </w:tblPr>
      <w:tblGrid>
        <w:gridCol w:w="9027"/>
      </w:tblGrid>
      <w:tr w:rsidR="00C76742" w:rsidRPr="002058B3" w:rsidTr="000F21D0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043E1D" w:rsidRPr="00145854" w:rsidRDefault="00043E1D" w:rsidP="000F21D0">
            <w:pPr>
              <w:rPr>
                <w:rFonts w:cs="Arial"/>
              </w:rPr>
            </w:pPr>
          </w:p>
          <w:p w:rsidR="006471AF" w:rsidRPr="00145854" w:rsidRDefault="006471AF" w:rsidP="000F21D0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743218324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344B8A" w:rsidRPr="00145854" w:rsidRDefault="00C76742" w:rsidP="00354A98">
          <w:pPr>
            <w:rPr>
              <w:rFonts w:cs="Arial"/>
            </w:rPr>
          </w:pPr>
          <w:r w:rsidRPr="00145854">
            <w:rPr>
              <w:rStyle w:val="PlaceholderText"/>
              <w:rFonts w:cs="Arial"/>
            </w:rPr>
            <w:t>Click here to enter a date.</w:t>
          </w:r>
        </w:p>
      </w:sdtContent>
    </w:sdt>
    <w:p w:rsidR="001F01B9" w:rsidRPr="00145854" w:rsidRDefault="001F01B9" w:rsidP="00A917B5">
      <w:pPr>
        <w:widowControl w:val="0"/>
        <w:spacing w:before="240" w:line="240" w:lineRule="auto"/>
        <w:outlineLvl w:val="0"/>
        <w:rPr>
          <w:rFonts w:cs="Arial"/>
        </w:rPr>
      </w:pPr>
    </w:p>
    <w:sectPr w:rsidR="001F01B9" w:rsidRPr="00145854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235" w:rsidRDefault="00646235" w:rsidP="00341F70">
      <w:pPr>
        <w:spacing w:after="0" w:line="240" w:lineRule="auto"/>
      </w:pPr>
      <w:r>
        <w:separator/>
      </w:r>
    </w:p>
  </w:endnote>
  <w:endnote w:type="continuationSeparator" w:id="0">
    <w:p w:rsidR="00646235" w:rsidRDefault="00646235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011B216" wp14:editId="21E9E7F6">
          <wp:extent cx="2713990" cy="35242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235" w:rsidRDefault="00646235" w:rsidP="00341F70">
      <w:pPr>
        <w:spacing w:after="0" w:line="240" w:lineRule="auto"/>
      </w:pPr>
      <w:r>
        <w:separator/>
      </w:r>
    </w:p>
  </w:footnote>
  <w:footnote w:type="continuationSeparator" w:id="0">
    <w:p w:rsidR="00646235" w:rsidRDefault="00646235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Pr="00640E1F" w:rsidRDefault="00A21FCB" w:rsidP="00322F8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</w:rPr>
    </w:pPr>
    <w:r w:rsidRPr="00640E1F">
      <w:rPr>
        <w:rFonts w:cs="Arial"/>
        <w:sz w:val="16"/>
        <w:szCs w:val="16"/>
      </w:rPr>
      <w:t xml:space="preserve">Green Star – </w:t>
    </w:r>
    <w:r w:rsidR="0082074C" w:rsidRPr="00640E1F">
      <w:rPr>
        <w:rFonts w:cs="Arial"/>
        <w:sz w:val="16"/>
        <w:szCs w:val="16"/>
      </w:rPr>
      <w:t>Performance</w:t>
    </w:r>
    <w:r w:rsidRPr="00640E1F">
      <w:rPr>
        <w:rFonts w:cs="Arial"/>
        <w:sz w:val="16"/>
        <w:szCs w:val="16"/>
      </w:rPr>
      <w:t xml:space="preserve"> v1</w:t>
    </w:r>
    <w:r w:rsidR="00A076EF" w:rsidRPr="00640E1F">
      <w:rPr>
        <w:rFonts w:cs="Arial"/>
        <w:sz w:val="16"/>
        <w:szCs w:val="16"/>
      </w:rPr>
      <w:t>.</w:t>
    </w:r>
    <w:r w:rsidR="00322F8A">
      <w:rPr>
        <w:rFonts w:cs="Arial"/>
        <w:sz w:val="16"/>
        <w:szCs w:val="16"/>
      </w:rPr>
      <w:t>2</w:t>
    </w:r>
    <w:r w:rsidRPr="00640E1F">
      <w:rPr>
        <w:rFonts w:cs="Arial"/>
        <w:sz w:val="16"/>
        <w:szCs w:val="16"/>
      </w:rPr>
      <w:tab/>
    </w:r>
    <w:r w:rsidRPr="00640E1F">
      <w:rPr>
        <w:rFonts w:cs="Arial"/>
        <w:sz w:val="16"/>
        <w:szCs w:val="16"/>
      </w:rPr>
      <w:tab/>
    </w:r>
    <w:r w:rsidRPr="00640E1F">
      <w:rPr>
        <w:rFonts w:cs="Arial"/>
        <w:sz w:val="16"/>
        <w:szCs w:val="16"/>
      </w:rPr>
      <w:tab/>
    </w:r>
    <w:r w:rsidR="00BB724C">
      <w:rPr>
        <w:rFonts w:cs="Arial"/>
        <w:sz w:val="16"/>
        <w:szCs w:val="16"/>
      </w:rPr>
      <w:t>Rec</w:t>
    </w:r>
    <w:r w:rsidR="006471AF" w:rsidRPr="00640E1F">
      <w:rPr>
        <w:rFonts w:cs="Arial"/>
        <w:sz w:val="16"/>
        <w:szCs w:val="16"/>
      </w:rPr>
      <w:t xml:space="preserve">ertification </w:t>
    </w:r>
    <w:r w:rsidRPr="00640E1F">
      <w:rPr>
        <w:rFonts w:cs="Arial"/>
        <w:sz w:val="16"/>
        <w:szCs w:val="16"/>
      </w:rPr>
      <w:t xml:space="preserve">Submission Template </w:t>
    </w:r>
    <w:r w:rsidR="00A076EF" w:rsidRPr="00640E1F">
      <w:rPr>
        <w:rFonts w:cs="Arial"/>
        <w:sz w:val="16"/>
        <w:szCs w:val="16"/>
      </w:rPr>
      <w:t>r1</w:t>
    </w:r>
  </w:p>
  <w:p w:rsidR="00341F70" w:rsidRPr="00640E1F" w:rsidRDefault="00341F70">
    <w:pPr>
      <w:pStyle w:val="Head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11332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050AC9"/>
    <w:multiLevelType w:val="hybridMultilevel"/>
    <w:tmpl w:val="DB5CE3D0"/>
    <w:lvl w:ilvl="0" w:tplc="0C09000F">
      <w:start w:val="1"/>
      <w:numFmt w:val="decimal"/>
      <w:lvlText w:val="%1."/>
      <w:lvlJc w:val="left"/>
      <w:pPr>
        <w:ind w:left="772" w:hanging="360"/>
      </w:pPr>
    </w:lvl>
    <w:lvl w:ilvl="1" w:tplc="0C090019" w:tentative="1">
      <w:start w:val="1"/>
      <w:numFmt w:val="lowerLetter"/>
      <w:lvlText w:val="%2."/>
      <w:lvlJc w:val="left"/>
      <w:pPr>
        <w:ind w:left="1492" w:hanging="360"/>
      </w:pPr>
    </w:lvl>
    <w:lvl w:ilvl="2" w:tplc="0C09001B" w:tentative="1">
      <w:start w:val="1"/>
      <w:numFmt w:val="lowerRoman"/>
      <w:lvlText w:val="%3."/>
      <w:lvlJc w:val="right"/>
      <w:pPr>
        <w:ind w:left="2212" w:hanging="180"/>
      </w:pPr>
    </w:lvl>
    <w:lvl w:ilvl="3" w:tplc="0C09000F" w:tentative="1">
      <w:start w:val="1"/>
      <w:numFmt w:val="decimal"/>
      <w:lvlText w:val="%4."/>
      <w:lvlJc w:val="left"/>
      <w:pPr>
        <w:ind w:left="2932" w:hanging="360"/>
      </w:pPr>
    </w:lvl>
    <w:lvl w:ilvl="4" w:tplc="0C090019" w:tentative="1">
      <w:start w:val="1"/>
      <w:numFmt w:val="lowerLetter"/>
      <w:lvlText w:val="%5."/>
      <w:lvlJc w:val="left"/>
      <w:pPr>
        <w:ind w:left="3652" w:hanging="360"/>
      </w:pPr>
    </w:lvl>
    <w:lvl w:ilvl="5" w:tplc="0C09001B" w:tentative="1">
      <w:start w:val="1"/>
      <w:numFmt w:val="lowerRoman"/>
      <w:lvlText w:val="%6."/>
      <w:lvlJc w:val="right"/>
      <w:pPr>
        <w:ind w:left="4372" w:hanging="180"/>
      </w:pPr>
    </w:lvl>
    <w:lvl w:ilvl="6" w:tplc="0C09000F" w:tentative="1">
      <w:start w:val="1"/>
      <w:numFmt w:val="decimal"/>
      <w:lvlText w:val="%7."/>
      <w:lvlJc w:val="left"/>
      <w:pPr>
        <w:ind w:left="5092" w:hanging="360"/>
      </w:pPr>
    </w:lvl>
    <w:lvl w:ilvl="7" w:tplc="0C090019" w:tentative="1">
      <w:start w:val="1"/>
      <w:numFmt w:val="lowerLetter"/>
      <w:lvlText w:val="%8."/>
      <w:lvlJc w:val="left"/>
      <w:pPr>
        <w:ind w:left="5812" w:hanging="360"/>
      </w:pPr>
    </w:lvl>
    <w:lvl w:ilvl="8" w:tplc="0C09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0" w15:restartNumberingAfterBreak="0">
    <w:nsid w:val="19A504F8"/>
    <w:multiLevelType w:val="hybridMultilevel"/>
    <w:tmpl w:val="A3DCA9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D73C5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5141BA"/>
    <w:multiLevelType w:val="hybridMultilevel"/>
    <w:tmpl w:val="E308627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407C2C"/>
    <w:multiLevelType w:val="hybridMultilevel"/>
    <w:tmpl w:val="E0EC6B0A"/>
    <w:lvl w:ilvl="0" w:tplc="0C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4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168BB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FE6B67"/>
    <w:multiLevelType w:val="hybridMultilevel"/>
    <w:tmpl w:val="A9022AB2"/>
    <w:lvl w:ilvl="0" w:tplc="60BA2CEA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A03BC3"/>
    <w:multiLevelType w:val="hybridMultilevel"/>
    <w:tmpl w:val="62AA78E8"/>
    <w:lvl w:ilvl="0" w:tplc="CBACF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9D9D9" w:themeColor="background1" w:themeShade="D9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E95113"/>
    <w:multiLevelType w:val="hybridMultilevel"/>
    <w:tmpl w:val="B90483FA"/>
    <w:lvl w:ilvl="0" w:tplc="82C65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8228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32"/>
  </w:num>
  <w:num w:numId="4">
    <w:abstractNumId w:val="19"/>
  </w:num>
  <w:num w:numId="5">
    <w:abstractNumId w:val="1"/>
  </w:num>
  <w:num w:numId="6">
    <w:abstractNumId w:val="24"/>
  </w:num>
  <w:num w:numId="7">
    <w:abstractNumId w:val="27"/>
  </w:num>
  <w:num w:numId="8">
    <w:abstractNumId w:val="4"/>
  </w:num>
  <w:num w:numId="9">
    <w:abstractNumId w:val="12"/>
  </w:num>
  <w:num w:numId="10">
    <w:abstractNumId w:val="7"/>
  </w:num>
  <w:num w:numId="11">
    <w:abstractNumId w:val="11"/>
  </w:num>
  <w:num w:numId="12">
    <w:abstractNumId w:val="0"/>
  </w:num>
  <w:num w:numId="13">
    <w:abstractNumId w:val="2"/>
  </w:num>
  <w:num w:numId="14">
    <w:abstractNumId w:val="18"/>
  </w:num>
  <w:num w:numId="15">
    <w:abstractNumId w:val="16"/>
  </w:num>
  <w:num w:numId="16">
    <w:abstractNumId w:val="37"/>
  </w:num>
  <w:num w:numId="17">
    <w:abstractNumId w:val="5"/>
  </w:num>
  <w:num w:numId="18">
    <w:abstractNumId w:val="14"/>
  </w:num>
  <w:num w:numId="19">
    <w:abstractNumId w:val="21"/>
  </w:num>
  <w:num w:numId="20">
    <w:abstractNumId w:val="36"/>
  </w:num>
  <w:num w:numId="21">
    <w:abstractNumId w:val="33"/>
  </w:num>
  <w:num w:numId="22">
    <w:abstractNumId w:val="25"/>
  </w:num>
  <w:num w:numId="23">
    <w:abstractNumId w:val="17"/>
  </w:num>
  <w:num w:numId="24">
    <w:abstractNumId w:val="29"/>
  </w:num>
  <w:num w:numId="25">
    <w:abstractNumId w:val="8"/>
  </w:num>
  <w:num w:numId="26">
    <w:abstractNumId w:val="15"/>
  </w:num>
  <w:num w:numId="27">
    <w:abstractNumId w:val="28"/>
  </w:num>
  <w:num w:numId="28">
    <w:abstractNumId w:val="6"/>
  </w:num>
  <w:num w:numId="29">
    <w:abstractNumId w:val="35"/>
  </w:num>
  <w:num w:numId="30">
    <w:abstractNumId w:val="30"/>
  </w:num>
  <w:num w:numId="31">
    <w:abstractNumId w:val="22"/>
  </w:num>
  <w:num w:numId="32">
    <w:abstractNumId w:val="26"/>
  </w:num>
  <w:num w:numId="33">
    <w:abstractNumId w:val="3"/>
  </w:num>
  <w:num w:numId="34">
    <w:abstractNumId w:val="20"/>
  </w:num>
  <w:num w:numId="35">
    <w:abstractNumId w:val="23"/>
  </w:num>
  <w:num w:numId="36">
    <w:abstractNumId w:val="9"/>
  </w:num>
  <w:num w:numId="37">
    <w:abstractNumId w:val="10"/>
  </w:num>
  <w:num w:numId="38">
    <w:abstractNumId w:val="34"/>
  </w:num>
  <w:num w:numId="39">
    <w:abstractNumId w:val="27"/>
  </w:num>
  <w:num w:numId="40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DF2"/>
    <w:rsid w:val="000251DE"/>
    <w:rsid w:val="0002622D"/>
    <w:rsid w:val="00041305"/>
    <w:rsid w:val="000414A1"/>
    <w:rsid w:val="00043CC3"/>
    <w:rsid w:val="00043E1D"/>
    <w:rsid w:val="0007088C"/>
    <w:rsid w:val="00075523"/>
    <w:rsid w:val="00097055"/>
    <w:rsid w:val="000B633E"/>
    <w:rsid w:val="000F12D3"/>
    <w:rsid w:val="000F321D"/>
    <w:rsid w:val="00102D9D"/>
    <w:rsid w:val="00103541"/>
    <w:rsid w:val="0011081A"/>
    <w:rsid w:val="0011585D"/>
    <w:rsid w:val="00120507"/>
    <w:rsid w:val="00127033"/>
    <w:rsid w:val="00145854"/>
    <w:rsid w:val="00145EF1"/>
    <w:rsid w:val="00155FD6"/>
    <w:rsid w:val="00163EF2"/>
    <w:rsid w:val="00166528"/>
    <w:rsid w:val="00187014"/>
    <w:rsid w:val="001A6021"/>
    <w:rsid w:val="001A76C9"/>
    <w:rsid w:val="001C087A"/>
    <w:rsid w:val="001C55B2"/>
    <w:rsid w:val="001D339D"/>
    <w:rsid w:val="001F01B9"/>
    <w:rsid w:val="001F170C"/>
    <w:rsid w:val="002026B3"/>
    <w:rsid w:val="002058B3"/>
    <w:rsid w:val="00214461"/>
    <w:rsid w:val="00230D00"/>
    <w:rsid w:val="002345E8"/>
    <w:rsid w:val="00242DE4"/>
    <w:rsid w:val="002528D2"/>
    <w:rsid w:val="00253282"/>
    <w:rsid w:val="00254FC3"/>
    <w:rsid w:val="0026389D"/>
    <w:rsid w:val="00274F41"/>
    <w:rsid w:val="00291D61"/>
    <w:rsid w:val="002B5708"/>
    <w:rsid w:val="002D50A1"/>
    <w:rsid w:val="002D672F"/>
    <w:rsid w:val="002D7F10"/>
    <w:rsid w:val="002F0C37"/>
    <w:rsid w:val="00313F06"/>
    <w:rsid w:val="0031599A"/>
    <w:rsid w:val="00322F8A"/>
    <w:rsid w:val="003416F0"/>
    <w:rsid w:val="00341F70"/>
    <w:rsid w:val="00343B85"/>
    <w:rsid w:val="00344B8A"/>
    <w:rsid w:val="00354A98"/>
    <w:rsid w:val="003617CD"/>
    <w:rsid w:val="00375418"/>
    <w:rsid w:val="00385775"/>
    <w:rsid w:val="00386BF8"/>
    <w:rsid w:val="00396C90"/>
    <w:rsid w:val="003A0075"/>
    <w:rsid w:val="003A63C9"/>
    <w:rsid w:val="003B1DE3"/>
    <w:rsid w:val="003B481B"/>
    <w:rsid w:val="003E6408"/>
    <w:rsid w:val="003F3EE4"/>
    <w:rsid w:val="003F710D"/>
    <w:rsid w:val="004109A5"/>
    <w:rsid w:val="00415DAA"/>
    <w:rsid w:val="00421258"/>
    <w:rsid w:val="00441FDE"/>
    <w:rsid w:val="00450AF8"/>
    <w:rsid w:val="00450B7E"/>
    <w:rsid w:val="0045598A"/>
    <w:rsid w:val="004640B8"/>
    <w:rsid w:val="00470E31"/>
    <w:rsid w:val="00471975"/>
    <w:rsid w:val="00477EDE"/>
    <w:rsid w:val="00481F86"/>
    <w:rsid w:val="0048681B"/>
    <w:rsid w:val="00495CF8"/>
    <w:rsid w:val="004A2F3C"/>
    <w:rsid w:val="004C5ACA"/>
    <w:rsid w:val="004D7376"/>
    <w:rsid w:val="004E345C"/>
    <w:rsid w:val="004F2472"/>
    <w:rsid w:val="00520242"/>
    <w:rsid w:val="005205F4"/>
    <w:rsid w:val="00543FCE"/>
    <w:rsid w:val="005500F9"/>
    <w:rsid w:val="00577D2A"/>
    <w:rsid w:val="00583D0B"/>
    <w:rsid w:val="005959BE"/>
    <w:rsid w:val="00597B39"/>
    <w:rsid w:val="005A5EA9"/>
    <w:rsid w:val="005B1A2D"/>
    <w:rsid w:val="005C2F1A"/>
    <w:rsid w:val="005C34D2"/>
    <w:rsid w:val="005C692B"/>
    <w:rsid w:val="005D7960"/>
    <w:rsid w:val="005E267B"/>
    <w:rsid w:val="005E3471"/>
    <w:rsid w:val="005F5A38"/>
    <w:rsid w:val="005F79E0"/>
    <w:rsid w:val="00613359"/>
    <w:rsid w:val="0062673F"/>
    <w:rsid w:val="00640E1F"/>
    <w:rsid w:val="00643569"/>
    <w:rsid w:val="00646235"/>
    <w:rsid w:val="006471AF"/>
    <w:rsid w:val="00656138"/>
    <w:rsid w:val="00673C11"/>
    <w:rsid w:val="00675AE6"/>
    <w:rsid w:val="006805D6"/>
    <w:rsid w:val="00682D62"/>
    <w:rsid w:val="00696088"/>
    <w:rsid w:val="006B3D65"/>
    <w:rsid w:val="006B6118"/>
    <w:rsid w:val="006C09EF"/>
    <w:rsid w:val="006C4CA5"/>
    <w:rsid w:val="006D3C47"/>
    <w:rsid w:val="006D5AEB"/>
    <w:rsid w:val="006F65AE"/>
    <w:rsid w:val="0072577C"/>
    <w:rsid w:val="0075170B"/>
    <w:rsid w:val="007537EB"/>
    <w:rsid w:val="00766025"/>
    <w:rsid w:val="00774F97"/>
    <w:rsid w:val="007772D5"/>
    <w:rsid w:val="00783D12"/>
    <w:rsid w:val="007B4C7F"/>
    <w:rsid w:val="007C5F01"/>
    <w:rsid w:val="007D3ED6"/>
    <w:rsid w:val="007F6DDF"/>
    <w:rsid w:val="00813BA9"/>
    <w:rsid w:val="0082074C"/>
    <w:rsid w:val="00826EC2"/>
    <w:rsid w:val="00830329"/>
    <w:rsid w:val="00833D8E"/>
    <w:rsid w:val="00834B07"/>
    <w:rsid w:val="00841903"/>
    <w:rsid w:val="00861856"/>
    <w:rsid w:val="0086343F"/>
    <w:rsid w:val="00874D00"/>
    <w:rsid w:val="008B10FC"/>
    <w:rsid w:val="008D2570"/>
    <w:rsid w:val="008E2EB8"/>
    <w:rsid w:val="009173CC"/>
    <w:rsid w:val="00941D1F"/>
    <w:rsid w:val="00950859"/>
    <w:rsid w:val="0095348B"/>
    <w:rsid w:val="00955DBE"/>
    <w:rsid w:val="00973783"/>
    <w:rsid w:val="00974FB1"/>
    <w:rsid w:val="00984982"/>
    <w:rsid w:val="00986BB4"/>
    <w:rsid w:val="009A13BF"/>
    <w:rsid w:val="009A4A40"/>
    <w:rsid w:val="009A6AD8"/>
    <w:rsid w:val="009E1E15"/>
    <w:rsid w:val="009E45D5"/>
    <w:rsid w:val="00A076EF"/>
    <w:rsid w:val="00A14DE0"/>
    <w:rsid w:val="00A207CE"/>
    <w:rsid w:val="00A21FCB"/>
    <w:rsid w:val="00A275AC"/>
    <w:rsid w:val="00A37D9C"/>
    <w:rsid w:val="00A45B94"/>
    <w:rsid w:val="00A53705"/>
    <w:rsid w:val="00A60FAE"/>
    <w:rsid w:val="00A77B3E"/>
    <w:rsid w:val="00A83883"/>
    <w:rsid w:val="00A917B5"/>
    <w:rsid w:val="00AA2E9F"/>
    <w:rsid w:val="00AA6199"/>
    <w:rsid w:val="00AB2114"/>
    <w:rsid w:val="00AC2EDC"/>
    <w:rsid w:val="00AC7C93"/>
    <w:rsid w:val="00AD250F"/>
    <w:rsid w:val="00AD7849"/>
    <w:rsid w:val="00AF437B"/>
    <w:rsid w:val="00B04026"/>
    <w:rsid w:val="00B1022C"/>
    <w:rsid w:val="00B16241"/>
    <w:rsid w:val="00B2137F"/>
    <w:rsid w:val="00B40098"/>
    <w:rsid w:val="00B43004"/>
    <w:rsid w:val="00B756FF"/>
    <w:rsid w:val="00B935C9"/>
    <w:rsid w:val="00B95C4C"/>
    <w:rsid w:val="00B97A1B"/>
    <w:rsid w:val="00BA24AD"/>
    <w:rsid w:val="00BA7D0F"/>
    <w:rsid w:val="00BB0CF9"/>
    <w:rsid w:val="00BB724C"/>
    <w:rsid w:val="00BC13DE"/>
    <w:rsid w:val="00BC1D56"/>
    <w:rsid w:val="00BE2CB0"/>
    <w:rsid w:val="00BF68E7"/>
    <w:rsid w:val="00BF694D"/>
    <w:rsid w:val="00C166CB"/>
    <w:rsid w:val="00C172F4"/>
    <w:rsid w:val="00C21DC4"/>
    <w:rsid w:val="00C53F7B"/>
    <w:rsid w:val="00C63291"/>
    <w:rsid w:val="00C66A4C"/>
    <w:rsid w:val="00C72D96"/>
    <w:rsid w:val="00C76742"/>
    <w:rsid w:val="00C814E4"/>
    <w:rsid w:val="00C93B33"/>
    <w:rsid w:val="00CA175C"/>
    <w:rsid w:val="00CA2474"/>
    <w:rsid w:val="00CF48AC"/>
    <w:rsid w:val="00D01D44"/>
    <w:rsid w:val="00D144BE"/>
    <w:rsid w:val="00D15333"/>
    <w:rsid w:val="00D20DA9"/>
    <w:rsid w:val="00D2360D"/>
    <w:rsid w:val="00D25565"/>
    <w:rsid w:val="00D32CE7"/>
    <w:rsid w:val="00D34A57"/>
    <w:rsid w:val="00D41FC5"/>
    <w:rsid w:val="00D519C2"/>
    <w:rsid w:val="00D532C3"/>
    <w:rsid w:val="00D55E65"/>
    <w:rsid w:val="00D70E27"/>
    <w:rsid w:val="00D76B52"/>
    <w:rsid w:val="00D80EAC"/>
    <w:rsid w:val="00D90EBB"/>
    <w:rsid w:val="00D96F56"/>
    <w:rsid w:val="00DA27D3"/>
    <w:rsid w:val="00DC36E3"/>
    <w:rsid w:val="00DF0E45"/>
    <w:rsid w:val="00E054C6"/>
    <w:rsid w:val="00E1023F"/>
    <w:rsid w:val="00E15F6B"/>
    <w:rsid w:val="00E17FB5"/>
    <w:rsid w:val="00E33F82"/>
    <w:rsid w:val="00E50D94"/>
    <w:rsid w:val="00E52F47"/>
    <w:rsid w:val="00E63EF6"/>
    <w:rsid w:val="00EA2D56"/>
    <w:rsid w:val="00EC4E1C"/>
    <w:rsid w:val="00EE0752"/>
    <w:rsid w:val="00EE192D"/>
    <w:rsid w:val="00F22F4B"/>
    <w:rsid w:val="00F239EF"/>
    <w:rsid w:val="00F43E46"/>
    <w:rsid w:val="00F66581"/>
    <w:rsid w:val="00F716CD"/>
    <w:rsid w:val="00F7648A"/>
    <w:rsid w:val="00F93D08"/>
    <w:rsid w:val="00F945F1"/>
    <w:rsid w:val="00FB13AD"/>
    <w:rsid w:val="00FB145F"/>
    <w:rsid w:val="00FB1B87"/>
    <w:rsid w:val="00FB2507"/>
    <w:rsid w:val="00FC156C"/>
    <w:rsid w:val="00FC67A4"/>
    <w:rsid w:val="00FC69DC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4E3A70D-07A0-409F-B36A-56546587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520242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11585D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Criterion"/>
    <w:link w:val="Heading2Char"/>
    <w:qFormat/>
    <w:rsid w:val="0011585D"/>
    <w:pPr>
      <w:outlineLvl w:val="1"/>
    </w:pPr>
    <w:rPr>
      <w:color w:val="56B3D0"/>
    </w:rPr>
  </w:style>
  <w:style w:type="paragraph" w:styleId="Heading3">
    <w:name w:val="heading 3"/>
    <w:basedOn w:val="Normal"/>
    <w:next w:val="Normal"/>
    <w:link w:val="Heading3Char"/>
    <w:unhideWhenUsed/>
    <w:qFormat/>
    <w:rsid w:val="0011585D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52024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20242"/>
  </w:style>
  <w:style w:type="paragraph" w:customStyle="1" w:styleId="Pointsavailable">
    <w:name w:val="Points available"/>
    <w:basedOn w:val="Caption"/>
    <w:link w:val="PointsavailableChar"/>
    <w:autoRedefine/>
    <w:qFormat/>
    <w:rsid w:val="0011585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1585D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11585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11585D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11585D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rsid w:val="0011585D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115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1585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11585D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1158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1585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1158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1585D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11585D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11585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11585D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11585D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11585D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11585D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11585D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11585D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115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11585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11585D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115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585D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11585D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11585D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locked/>
    <w:rsid w:val="00813BA9"/>
    <w:rPr>
      <w:color w:val="808080"/>
    </w:rPr>
  </w:style>
  <w:style w:type="paragraph" w:customStyle="1" w:styleId="L1dots">
    <w:name w:val="L1 dots"/>
    <w:basedOn w:val="ListParagraph"/>
    <w:link w:val="L1dotsChar"/>
    <w:qFormat/>
    <w:rsid w:val="00643569"/>
    <w:pPr>
      <w:numPr>
        <w:numId w:val="40"/>
      </w:numPr>
      <w:jc w:val="left"/>
    </w:pPr>
  </w:style>
  <w:style w:type="character" w:customStyle="1" w:styleId="L1dotsChar">
    <w:name w:val="L1 dots Char"/>
    <w:basedOn w:val="ListParagraphChar"/>
    <w:link w:val="L1dots"/>
    <w:rsid w:val="00643569"/>
    <w:rPr>
      <w:rFonts w:ascii="Arial" w:eastAsia="Calibri" w:hAnsi="Arial"/>
      <w:color w:val="000000"/>
      <w:szCs w:val="18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597B3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aps w:val="0"/>
      <w:noProof w:val="0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597B39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597B39"/>
    <w:pPr>
      <w:spacing w:after="100"/>
      <w:ind w:left="4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597B39"/>
    <w:pPr>
      <w:spacing w:after="100"/>
      <w:ind w:left="200"/>
    </w:pPr>
  </w:style>
  <w:style w:type="paragraph" w:customStyle="1" w:styleId="Preliminary">
    <w:name w:val="Preliminary"/>
    <w:basedOn w:val="Heading2"/>
    <w:qFormat/>
    <w:rsid w:val="00A076EF"/>
    <w:rPr>
      <w:sz w:val="24"/>
    </w:rPr>
  </w:style>
  <w:style w:type="paragraph" w:styleId="NoSpacing">
    <w:name w:val="No Spacing"/>
    <w:uiPriority w:val="1"/>
    <w:locked/>
    <w:rsid w:val="001F01B9"/>
    <w:rPr>
      <w:rFonts w:ascii="Arial" w:eastAsiaTheme="minorHAnsi" w:hAnsi="Arial" w:cstheme="minorBidi"/>
      <w:szCs w:val="22"/>
      <w:lang w:val="en-AU"/>
    </w:rPr>
  </w:style>
  <w:style w:type="paragraph" w:customStyle="1" w:styleId="L2dots">
    <w:name w:val="L2 dots"/>
    <w:basedOn w:val="Normal"/>
    <w:link w:val="L2dotsChar"/>
    <w:qFormat/>
    <w:rsid w:val="00F716CD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F716CD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F716CD"/>
    <w:pPr>
      <w:jc w:val="left"/>
    </w:pPr>
  </w:style>
  <w:style w:type="character" w:customStyle="1" w:styleId="L2NumListChar">
    <w:name w:val="L2 Num List Char"/>
    <w:basedOn w:val="ListParagraphChar"/>
    <w:link w:val="L2NumList"/>
    <w:rsid w:val="00F716CD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F716CD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F716CD"/>
    <w:rPr>
      <w:rFonts w:ascii="Arial" w:eastAsia="Calibri" w:hAnsi="Arial"/>
      <w:color w:val="000000"/>
      <w:lang w:val="en-AU"/>
    </w:rPr>
  </w:style>
  <w:style w:type="paragraph" w:customStyle="1" w:styleId="tabletext">
    <w:name w:val="table text"/>
    <w:basedOn w:val="Normal"/>
    <w:qFormat/>
    <w:rsid w:val="00F716CD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F716CD"/>
    <w:pPr>
      <w:jc w:val="center"/>
    </w:pPr>
    <w:rPr>
      <w:b/>
      <w:sz w:val="24"/>
    </w:rPr>
  </w:style>
  <w:style w:type="table" w:customStyle="1" w:styleId="TableGrid1">
    <w:name w:val="Table Grid1"/>
    <w:basedOn w:val="TableNormal"/>
    <w:next w:val="TableGrid"/>
    <w:uiPriority w:val="59"/>
    <w:rsid w:val="00984982"/>
    <w:rPr>
      <w:rFonts w:ascii="Arial" w:eastAsiaTheme="minorHAnsi" w:hAnsi="Arial" w:cstheme="minorBidi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paragraph" w:customStyle="1" w:styleId="Heading40">
    <w:name w:val="Heading  4"/>
    <w:basedOn w:val="Heading3"/>
    <w:link w:val="Heading4Char"/>
    <w:qFormat/>
    <w:rsid w:val="00477EDE"/>
  </w:style>
  <w:style w:type="table" w:customStyle="1" w:styleId="Style11">
    <w:name w:val="Style11"/>
    <w:basedOn w:val="TableNormal"/>
    <w:uiPriority w:val="99"/>
    <w:rsid w:val="0021446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character" w:customStyle="1" w:styleId="Heading4Char">
    <w:name w:val="Heading  4 Char"/>
    <w:basedOn w:val="Heading3Char"/>
    <w:link w:val="Heading40"/>
    <w:rsid w:val="00477EDE"/>
    <w:rPr>
      <w:rFonts w:ascii="Arial" w:eastAsiaTheme="majorEastAsia" w:hAnsi="Arial" w:cstheme="majorBidi"/>
      <w:b/>
      <w:bCs/>
      <w:color w:val="000000"/>
      <w:sz w:val="24"/>
      <w:szCs w:val="22"/>
      <w:lang w:val="en-AU"/>
    </w:rPr>
  </w:style>
  <w:style w:type="table" w:customStyle="1" w:styleId="Style12">
    <w:name w:val="Style12"/>
    <w:basedOn w:val="TableNormal"/>
    <w:uiPriority w:val="99"/>
    <w:rsid w:val="00643569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3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828E598-097D-42F9-88D5-D54CA33A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855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3</cp:revision>
  <cp:lastPrinted>1900-12-31T14:00:00Z</cp:lastPrinted>
  <dcterms:created xsi:type="dcterms:W3CDTF">2017-11-24T06:04:00Z</dcterms:created>
  <dcterms:modified xsi:type="dcterms:W3CDTF">2017-11-28T05:30:00Z</dcterms:modified>
</cp:coreProperties>
</file>